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210"/>
        <w:jc w:val="left"/>
        <w:outlineLvl w:val="0"/>
        <w:rPr>
          <w:rFonts w:hint="eastAsia" w:ascii="宋体" w:hAnsi="宋体"/>
          <w:bCs/>
          <w:kern w:val="0"/>
          <w:sz w:val="28"/>
          <w:szCs w:val="28"/>
          <w:highlight w:val="yellow"/>
        </w:rPr>
      </w:pPr>
      <w:r>
        <w:rPr>
          <w:rFonts w:hint="eastAsia" w:ascii="宋体" w:hAnsi="宋体"/>
          <w:bCs/>
          <w:kern w:val="0"/>
          <w:sz w:val="28"/>
          <w:szCs w:val="28"/>
        </w:rPr>
        <w:t>附件2</w:t>
      </w:r>
    </w:p>
    <w:p>
      <w:pPr>
        <w:widowControl/>
        <w:shd w:val="clear" w:color="auto" w:fill="FFFFFF"/>
        <w:spacing w:after="210"/>
        <w:jc w:val="center"/>
        <w:outlineLvl w:val="0"/>
        <w:rPr>
          <w:rFonts w:hint="eastAsia" w:ascii="Microsoft YaHei UI" w:hAnsi="Microsoft YaHei UI" w:eastAsia="Microsoft YaHei UI" w:cs="宋体"/>
          <w:spacing w:val="8"/>
          <w:kern w:val="36"/>
          <w:sz w:val="33"/>
          <w:szCs w:val="33"/>
          <w:shd w:val="clear" w:color="auto" w:fill="FFFFFF"/>
        </w:rPr>
      </w:pPr>
      <w:r>
        <w:rPr>
          <w:rFonts w:ascii="Malgun Gothic Semilight" w:hAnsi="Malgun Gothic Semilight" w:eastAsia="Malgun Gothic Semilight" w:cs="Malgun Gothic Semilight"/>
          <w:b/>
          <w:spacing w:val="8"/>
          <w:kern w:val="36"/>
          <w:sz w:val="32"/>
          <w:szCs w:val="32"/>
          <w:shd w:val="clear" w:color="auto" w:fill="FFFFFF"/>
          <w:lang w:bidi="ar"/>
        </w:rPr>
        <w:t>项目材料要求细则</w:t>
      </w:r>
    </w:p>
    <w:p>
      <w:pPr>
        <w:widowControl/>
        <w:shd w:val="clear" w:color="auto" w:fill="FFFFFF"/>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递交资料（包括但不限于）：</w:t>
      </w:r>
    </w:p>
    <w:p>
      <w:pPr>
        <w:widowControl/>
        <w:shd w:val="clear" w:color="auto" w:fill="FFFFFF"/>
        <w:jc w:val="center"/>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 xml:space="preserve"> </w:t>
      </w:r>
    </w:p>
    <w:p>
      <w:pPr>
        <w:widowControl/>
        <w:shd w:val="clear" w:color="auto" w:fill="FFFFFF"/>
        <w:spacing w:line="360" w:lineRule="auto"/>
        <w:ind w:left="36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政府或其他主管部门批件</w:t>
      </w:r>
      <w:r>
        <w:rPr>
          <w:rFonts w:hint="eastAsia" w:ascii="宋体" w:hAnsi="宋体" w:cs="宋体"/>
          <w:spacing w:val="8"/>
          <w:kern w:val="0"/>
          <w:sz w:val="24"/>
          <w:shd w:val="clear" w:color="auto" w:fill="FFFFFF"/>
          <w:lang w:bidi="ar"/>
        </w:rPr>
        <w:t>（复印件加盖申办方公章）</w:t>
      </w:r>
    </w:p>
    <w:p>
      <w:pPr>
        <w:widowControl/>
        <w:shd w:val="clear" w:color="auto" w:fill="FFFFFF"/>
        <w:spacing w:line="360" w:lineRule="auto"/>
        <w:ind w:left="780"/>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1、</w:t>
      </w:r>
      <w:r>
        <w:rPr>
          <w:rFonts w:hint="eastAsia" w:ascii="宋体" w:hAnsi="宋体" w:cs="宋体"/>
          <w:spacing w:val="8"/>
          <w:kern w:val="0"/>
          <w:sz w:val="24"/>
          <w:u w:val="single"/>
          <w:shd w:val="clear" w:color="auto" w:fill="FFFFFF"/>
          <w:lang w:bidi="ar"/>
        </w:rPr>
        <w:t>注册药物</w:t>
      </w:r>
      <w:r>
        <w:rPr>
          <w:rFonts w:hint="eastAsia" w:ascii="宋体" w:hAnsi="宋体" w:cs="宋体"/>
          <w:spacing w:val="8"/>
          <w:kern w:val="0"/>
          <w:sz w:val="24"/>
          <w:shd w:val="clear" w:color="auto" w:fill="FFFFFF"/>
          <w:lang w:bidi="ar"/>
        </w:rPr>
        <w:t>临床试验：</w:t>
      </w:r>
      <w:r>
        <w:rPr>
          <w:rFonts w:hint="eastAsia" w:ascii="宋体" w:hAnsi="宋体" w:cs="宋体"/>
          <w:spacing w:val="8"/>
          <w:kern w:val="0"/>
          <w:sz w:val="24"/>
          <w:u w:val="single"/>
          <w:shd w:val="clear" w:color="auto" w:fill="FFFFFF"/>
          <w:lang w:bidi="ar"/>
        </w:rPr>
        <w:t>需要</w:t>
      </w:r>
      <w:r>
        <w:rPr>
          <w:rFonts w:hint="eastAsia" w:ascii="宋体" w:hAnsi="宋体" w:cs="宋体"/>
          <w:spacing w:val="8"/>
          <w:kern w:val="0"/>
          <w:sz w:val="24"/>
          <w:shd w:val="clear" w:color="auto" w:fill="FFFFFF"/>
          <w:lang w:bidi="ar"/>
        </w:rPr>
        <w:t>NMPA临床试验批件</w:t>
      </w:r>
    </w:p>
    <w:p>
      <w:pPr>
        <w:widowControl/>
        <w:shd w:val="clear" w:color="auto" w:fill="FFFFFF"/>
        <w:spacing w:line="360" w:lineRule="auto"/>
        <w:ind w:left="78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【注意：（1）机构立项时，注册类1-3期临床试验与1.1类创新药IV期上市后再评价项目机构立项时，临床试验批件可暂缺，但推向伦理时需提供《国家药品监督管理局行政许可文书受理通知书》（盖</w:t>
      </w:r>
      <w:bookmarkStart w:id="1" w:name="_GoBack"/>
      <w:bookmarkEnd w:id="1"/>
      <w:r>
        <w:rPr>
          <w:rFonts w:hint="eastAsia" w:ascii="宋体" w:hAnsi="宋体" w:cs="宋体"/>
          <w:spacing w:val="8"/>
          <w:kern w:val="0"/>
          <w:sz w:val="24"/>
          <w:shd w:val="clear" w:color="auto" w:fill="FFFFFF"/>
          <w:lang w:bidi="ar"/>
        </w:rPr>
        <w:t>章）、《开展注册临床试验前与CDE沟通交流会议纪要或沟通函》（盖章）；（2）启动前，必须提供国家药品监督管理局“药物临床试验批件”（盖章）、国家药审中心“默示许可公示”截屏（盖章）。</w:t>
      </w:r>
    </w:p>
    <w:p>
      <w:pPr>
        <w:widowControl/>
        <w:shd w:val="clear" w:color="auto" w:fill="FFFFFF"/>
        <w:spacing w:line="360" w:lineRule="auto"/>
        <w:ind w:left="78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2、</w:t>
      </w:r>
      <w:r>
        <w:rPr>
          <w:rFonts w:hint="eastAsia" w:ascii="宋体" w:hAnsi="宋体" w:cs="宋体"/>
          <w:spacing w:val="8"/>
          <w:kern w:val="0"/>
          <w:sz w:val="24"/>
          <w:u w:val="single"/>
          <w:shd w:val="clear" w:color="auto" w:fill="FFFFFF"/>
          <w:lang w:bidi="ar"/>
        </w:rPr>
        <w:t>非注册药物</w:t>
      </w:r>
      <w:r>
        <w:rPr>
          <w:rFonts w:hint="eastAsia" w:ascii="宋体" w:hAnsi="宋体" w:cs="宋体"/>
          <w:spacing w:val="8"/>
          <w:kern w:val="0"/>
          <w:sz w:val="24"/>
          <w:shd w:val="clear" w:color="auto" w:fill="FFFFFF"/>
          <w:lang w:bidi="ar"/>
        </w:rPr>
        <w:t>临床试验（含申办方发起、研究者发起（IIT）、非1.1类新药的IV期试验）、注册和非注册</w:t>
      </w:r>
      <w:r>
        <w:rPr>
          <w:rFonts w:hint="eastAsia" w:ascii="宋体" w:hAnsi="宋体" w:cs="宋体"/>
          <w:spacing w:val="8"/>
          <w:kern w:val="0"/>
          <w:sz w:val="24"/>
          <w:u w:val="single"/>
          <w:shd w:val="clear" w:color="auto" w:fill="FFFFFF"/>
          <w:lang w:bidi="ar"/>
        </w:rPr>
        <w:t>医疗器械（含诊断试剂盒、耗材等）</w:t>
      </w:r>
      <w:r>
        <w:rPr>
          <w:rFonts w:hint="eastAsia" w:ascii="宋体" w:hAnsi="宋体" w:cs="宋体"/>
          <w:spacing w:val="8"/>
          <w:kern w:val="0"/>
          <w:sz w:val="24"/>
          <w:shd w:val="clear" w:color="auto" w:fill="FFFFFF"/>
          <w:lang w:bidi="ar"/>
        </w:rPr>
        <w:t>临床试验均</w:t>
      </w:r>
      <w:r>
        <w:rPr>
          <w:rFonts w:hint="eastAsia" w:ascii="宋体" w:hAnsi="宋体" w:cs="宋体"/>
          <w:spacing w:val="8"/>
          <w:kern w:val="0"/>
          <w:sz w:val="24"/>
          <w:u w:val="single"/>
          <w:shd w:val="clear" w:color="auto" w:fill="FFFFFF"/>
          <w:lang w:bidi="ar"/>
        </w:rPr>
        <w:t>不需要</w:t>
      </w:r>
      <w:r>
        <w:rPr>
          <w:rFonts w:hint="eastAsia" w:ascii="宋体" w:hAnsi="宋体" w:cs="宋体"/>
          <w:spacing w:val="8"/>
          <w:kern w:val="0"/>
          <w:sz w:val="24"/>
          <w:shd w:val="clear" w:color="auto" w:fill="FFFFFF"/>
          <w:lang w:bidi="ar"/>
        </w:rPr>
        <w:t>政府或其他主管部门批件。但属于“需进行临床试验审批的第三类医疗器械目录”的试验需要提供政府或其他主管部门批件。</w:t>
      </w:r>
    </w:p>
    <w:p>
      <w:pPr>
        <w:widowControl/>
        <w:shd w:val="clear" w:color="auto" w:fill="FFFFFF"/>
        <w:spacing w:line="360" w:lineRule="auto"/>
        <w:ind w:left="78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【注意：医疗器械临床试验（包括诊断试剂盒），需要在试验方案确定、伦理通过审查后，向申办者所在地省级药品监督管理部门备案，并向机构提交备案证明后方可启动。】</w:t>
      </w:r>
    </w:p>
    <w:p>
      <w:pPr>
        <w:widowControl/>
        <w:shd w:val="clear" w:color="auto" w:fill="FFFFFF"/>
        <w:spacing w:line="360" w:lineRule="auto"/>
        <w:ind w:left="42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 xml:space="preserve"> </w:t>
      </w:r>
    </w:p>
    <w:p>
      <w:pPr>
        <w:widowControl/>
        <w:shd w:val="clear" w:color="auto" w:fill="FFFFFF"/>
        <w:spacing w:line="360" w:lineRule="auto"/>
        <w:ind w:left="768" w:hanging="768" w:hangingChars="30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 xml:space="preserve"> □</w:t>
      </w:r>
      <w:r>
        <w:rPr>
          <w:rFonts w:hint="eastAsia" w:ascii="宋体" w:hAnsi="宋体" w:cs="宋体"/>
          <w:b/>
          <w:spacing w:val="8"/>
          <w:kern w:val="0"/>
          <w:sz w:val="24"/>
          <w:shd w:val="clear" w:color="auto" w:fill="FFFFFF"/>
          <w:lang w:bidi="ar"/>
        </w:rPr>
        <w:t>申办者/CRO厂家三证</w:t>
      </w:r>
      <w:r>
        <w:rPr>
          <w:rFonts w:hint="eastAsia" w:ascii="宋体" w:hAnsi="宋体" w:cs="宋体"/>
          <w:spacing w:val="8"/>
          <w:kern w:val="0"/>
          <w:sz w:val="24"/>
          <w:shd w:val="clear" w:color="auto" w:fill="FFFFFF"/>
          <w:lang w:bidi="ar"/>
        </w:rPr>
        <w:t>（工商、税务、机构代码）（复印件加盖所在方公章）</w:t>
      </w:r>
    </w:p>
    <w:p>
      <w:pPr>
        <w:widowControl/>
        <w:shd w:val="clear" w:color="auto" w:fill="FFFFFF"/>
        <w:spacing w:line="360" w:lineRule="auto"/>
        <w:ind w:left="72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1、若有CRO、SMO、检测单位：则需申办者、CRO、SMO、检测单位均提供三证</w:t>
      </w:r>
    </w:p>
    <w:p>
      <w:pPr>
        <w:widowControl/>
        <w:shd w:val="clear" w:color="auto" w:fill="FFFFFF"/>
        <w:spacing w:line="360" w:lineRule="auto"/>
        <w:ind w:left="72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2、若无CRO、SMO、检测单位：则需要申办者提供三证</w:t>
      </w:r>
    </w:p>
    <w:p>
      <w:pPr>
        <w:widowControl/>
        <w:shd w:val="clear" w:color="auto" w:fill="FFFFFF"/>
        <w:spacing w:line="360" w:lineRule="auto"/>
        <w:ind w:left="72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3、除申办方、CRO、SMO、检测单位外，还有其他公司介入到试验中，则需要提供其他公司三证</w:t>
      </w:r>
    </w:p>
    <w:p>
      <w:pPr>
        <w:widowControl/>
        <w:shd w:val="clear" w:color="auto" w:fill="FFFFFF"/>
        <w:spacing w:line="360" w:lineRule="auto"/>
        <w:ind w:left="72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4、除申办方提供三证外，还需提供试验药物生产GMP证书或符合GMP条件相关证明文件</w:t>
      </w:r>
    </w:p>
    <w:p>
      <w:pPr>
        <w:widowControl/>
        <w:shd w:val="clear" w:color="auto" w:fill="FFFFFF"/>
        <w:spacing w:line="360" w:lineRule="auto"/>
        <w:ind w:left="63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【注意机构立项时，SMO三证可暂缺，但启动前必须齐全】</w:t>
      </w:r>
    </w:p>
    <w:p>
      <w:pPr>
        <w:widowControl/>
        <w:shd w:val="clear" w:color="auto" w:fill="FFFFFF"/>
        <w:spacing w:line="360" w:lineRule="auto"/>
        <w:ind w:left="63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【特别注意有无哪方有外资背景，若有，则需在启动前必须获得遗传办批件】</w:t>
      </w:r>
    </w:p>
    <w:p>
      <w:pPr>
        <w:widowControl/>
        <w:shd w:val="clear" w:color="auto" w:fill="FFFFFF"/>
        <w:spacing w:line="360" w:lineRule="auto"/>
        <w:ind w:left="36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研究者手册（临床前及临床试验资料，注明版本号／版本日期）</w:t>
      </w:r>
    </w:p>
    <w:p>
      <w:pPr>
        <w:widowControl/>
        <w:shd w:val="clear" w:color="auto" w:fill="FFFFFF"/>
        <w:spacing w:line="360" w:lineRule="auto"/>
        <w:ind w:left="420" w:firstLine="256" w:firstLineChars="10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【申办者需签字和盖章，主要研究者需签字】</w:t>
      </w:r>
    </w:p>
    <w:p>
      <w:pPr>
        <w:widowControl/>
        <w:shd w:val="clear" w:color="auto" w:fill="FFFFFF"/>
        <w:spacing w:line="360" w:lineRule="auto"/>
        <w:ind w:left="420" w:firstLine="256" w:firstLineChars="10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【手册内容太多时，亦可接受CD刻盘形式】</w:t>
      </w:r>
    </w:p>
    <w:p>
      <w:pPr>
        <w:widowControl/>
        <w:shd w:val="clear" w:color="auto" w:fill="FFFFFF"/>
        <w:spacing w:line="360" w:lineRule="auto"/>
        <w:ind w:left="36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临床研究方案(注明版本号／版本日期）</w:t>
      </w:r>
    </w:p>
    <w:p>
      <w:pPr>
        <w:widowControl/>
        <w:shd w:val="clear" w:color="auto" w:fill="FFFFFF"/>
        <w:spacing w:line="360" w:lineRule="auto"/>
        <w:ind w:left="420" w:firstLine="256" w:firstLineChars="10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【申办者需签字和盖章，主要研究者需签字】</w:t>
      </w:r>
    </w:p>
    <w:p>
      <w:pPr>
        <w:widowControl/>
        <w:shd w:val="clear" w:color="auto" w:fill="FFFFFF"/>
        <w:spacing w:line="360" w:lineRule="auto"/>
        <w:ind w:left="36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病例报告表（CRF）</w:t>
      </w:r>
    </w:p>
    <w:p>
      <w:pPr>
        <w:widowControl/>
        <w:shd w:val="clear" w:color="auto" w:fill="FFFFFF"/>
        <w:spacing w:line="360" w:lineRule="auto"/>
        <w:ind w:left="420" w:firstLine="256" w:firstLineChars="10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【申办者需要盖章】</w:t>
      </w:r>
    </w:p>
    <w:p>
      <w:pPr>
        <w:widowControl/>
        <w:shd w:val="clear" w:color="auto" w:fill="FFFFFF"/>
        <w:spacing w:line="360" w:lineRule="auto"/>
        <w:ind w:left="420" w:firstLine="256" w:firstLineChars="10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【CRF内容太多时，亦可接受CD刻盘形式】</w:t>
      </w:r>
    </w:p>
    <w:p>
      <w:pPr>
        <w:widowControl/>
        <w:shd w:val="clear" w:color="auto" w:fill="FFFFFF"/>
        <w:spacing w:line="360" w:lineRule="auto"/>
        <w:ind w:left="36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知情同意书(注明版本号／版本日期)</w:t>
      </w:r>
    </w:p>
    <w:p>
      <w:pPr>
        <w:widowControl/>
        <w:shd w:val="clear" w:color="auto" w:fill="FFFFFF"/>
        <w:spacing w:line="360" w:lineRule="auto"/>
        <w:ind w:left="420" w:firstLine="256" w:firstLineChars="10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【申办者需要盖章】</w:t>
      </w:r>
    </w:p>
    <w:p>
      <w:pPr>
        <w:widowControl/>
        <w:shd w:val="clear" w:color="auto" w:fill="FFFFFF"/>
        <w:spacing w:line="360" w:lineRule="auto"/>
        <w:ind w:left="36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招募受试者的材料(注明版本号／版本日期)</w:t>
      </w:r>
    </w:p>
    <w:p>
      <w:pPr>
        <w:widowControl/>
        <w:shd w:val="clear" w:color="auto" w:fill="FFFFFF"/>
        <w:spacing w:line="360" w:lineRule="auto"/>
        <w:ind w:left="420" w:firstLine="256" w:firstLineChars="10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【申办者需要盖章】</w:t>
      </w:r>
    </w:p>
    <w:p>
      <w:pPr>
        <w:widowControl/>
        <w:shd w:val="clear" w:color="auto" w:fill="FFFFFF"/>
        <w:spacing w:line="360" w:lineRule="auto"/>
        <w:ind w:left="420" w:firstLine="256" w:firstLineChars="10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【注意招募广告需注明发布形式】</w:t>
      </w:r>
    </w:p>
    <w:p>
      <w:pPr>
        <w:widowControl/>
        <w:shd w:val="clear" w:color="auto" w:fill="FFFFFF"/>
        <w:spacing w:line="360" w:lineRule="auto"/>
        <w:ind w:left="36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保险和/或赔偿措施或相关文件</w:t>
      </w:r>
    </w:p>
    <w:p>
      <w:pPr>
        <w:widowControl/>
        <w:shd w:val="clear" w:color="auto" w:fill="FFFFFF"/>
        <w:spacing w:line="360" w:lineRule="auto"/>
        <w:ind w:left="477" w:leftChars="227"/>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【注意保险有效时限需要包含我中心临床试验开展所需时长。如申办 方未计划购买临床试验保险，则在临床试验合同中明确指出“申办方负责为研究机构及研究者提供法律上与经济上担保。对发生与试验相关的损害（包括受试者损害、研究机构和研究者的损害）后果时，申办方负责承担全部责任，包括医疗费用、经济补偿或者赔偿等。如进入诉讼程序，则由申办方承担案件的律师费、诉讼费等与诉讼相关的费用”】</w:t>
      </w:r>
    </w:p>
    <w:p>
      <w:pPr>
        <w:widowControl/>
        <w:shd w:val="clear" w:color="auto" w:fill="FFFFFF"/>
        <w:spacing w:line="360" w:lineRule="auto"/>
        <w:ind w:left="477" w:leftChars="227"/>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【申办方若购买了保险，但暂未取得保单，可先上伦理，项目启动前   须持保单到伦理备案】</w:t>
      </w:r>
    </w:p>
    <w:p>
      <w:pPr>
        <w:widowControl/>
        <w:shd w:val="clear" w:color="auto" w:fill="FFFFFF"/>
        <w:spacing w:line="360" w:lineRule="auto"/>
        <w:ind w:left="36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合同（各方均已谈妥）</w:t>
      </w:r>
    </w:p>
    <w:p>
      <w:pPr>
        <w:widowControl/>
        <w:shd w:val="clear" w:color="auto" w:fill="FFFFFF"/>
        <w:spacing w:line="360" w:lineRule="auto"/>
        <w:ind w:left="899" w:leftChars="428"/>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我中心合同模板或申办方合同模板均可接受。我中心有合同模板，包括临床试验两方合同模板（申办方与医院），临床试验三方合同模板（申办方、医院、CRO/或SMO）；如不接受我中心合同模板，需用申办方合同模板的，则需项目管理员把我中心合同模板中“各方主要权责、受试者权益保护与赔偿、研究费用组成和付款计划等主要条款”添加进申办方合同模板】</w:t>
      </w:r>
    </w:p>
    <w:p>
      <w:pPr>
        <w:widowControl/>
        <w:shd w:val="clear" w:color="auto" w:fill="FFFFFF"/>
        <w:spacing w:line="360" w:lineRule="auto"/>
        <w:ind w:left="36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组长单位伦理委员会批件</w:t>
      </w:r>
      <w:r>
        <w:rPr>
          <w:rFonts w:hint="eastAsia" w:ascii="宋体" w:hAnsi="宋体" w:cs="宋体"/>
          <w:spacing w:val="8"/>
          <w:kern w:val="0"/>
          <w:sz w:val="24"/>
          <w:shd w:val="clear" w:color="auto" w:fill="FFFFFF"/>
          <w:lang w:bidi="ar"/>
        </w:rPr>
        <w:t>（复印件加盖申办方公章）</w:t>
      </w:r>
    </w:p>
    <w:p>
      <w:pPr>
        <w:widowControl/>
        <w:shd w:val="clear" w:color="auto" w:fill="FFFFFF"/>
        <w:spacing w:line="360" w:lineRule="auto"/>
        <w:ind w:left="974" w:leftChars="342" w:hanging="256" w:hangingChars="10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【若有两个或两个以上的组长单位，我中心以组长单位最新的伦理 批件为准（立项及伦理审批时可暂缺，但项目启动前，确认组长单位伦理批件批准的方案与我中心伦理批准一致）】</w:t>
      </w:r>
    </w:p>
    <w:p>
      <w:pPr>
        <w:widowControl/>
        <w:shd w:val="clear" w:color="auto" w:fill="FFFFFF"/>
        <w:spacing w:line="360" w:lineRule="auto"/>
        <w:ind w:left="36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主要研究者履历（包括3年内的GCP培训合格证书）</w:t>
      </w:r>
    </w:p>
    <w:p>
      <w:pPr>
        <w:widowControl/>
        <w:shd w:val="clear" w:color="auto" w:fill="FFFFFF"/>
        <w:spacing w:line="360" w:lineRule="auto"/>
        <w:ind w:firstLine="768" w:firstLineChars="30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【主要研究者履历需要PI签字、签署日期】</w:t>
      </w:r>
    </w:p>
    <w:p>
      <w:pPr>
        <w:widowControl/>
        <w:shd w:val="clear" w:color="auto" w:fill="FFFFFF"/>
        <w:spacing w:line="360" w:lineRule="auto"/>
        <w:ind w:left="36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药检报告/医疗器械/试剂盒检测报告</w:t>
      </w:r>
      <w:r>
        <w:rPr>
          <w:rFonts w:hint="eastAsia" w:ascii="宋体" w:hAnsi="宋体" w:cs="宋体"/>
          <w:spacing w:val="8"/>
          <w:kern w:val="0"/>
          <w:sz w:val="24"/>
          <w:shd w:val="clear" w:color="auto" w:fill="FFFFFF"/>
          <w:lang w:bidi="ar"/>
        </w:rPr>
        <w:t>（复印件加盖申办方公章）</w:t>
      </w:r>
    </w:p>
    <w:p>
      <w:pPr>
        <w:widowControl/>
        <w:shd w:val="clear" w:color="auto" w:fill="FFFFFF"/>
        <w:spacing w:line="360" w:lineRule="auto"/>
        <w:ind w:left="899" w:leftChars="428"/>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1.药物需要由申请人按照拟定的质控标准进行检验，也可以委托省级以上药品检验机构或者具有相关资质和检验检测能力的第三方检验机构进行检验并出具合格报告</w:t>
      </w:r>
    </w:p>
    <w:p>
      <w:pPr>
        <w:widowControl/>
        <w:shd w:val="clear" w:color="auto" w:fill="FFFFFF"/>
        <w:spacing w:line="360" w:lineRule="auto"/>
        <w:ind w:left="899" w:leftChars="428"/>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2.疫苗类制品、血液制品、食品药品监管总局规定的其他生物制品应当由国家药监局指定的药品检验机构进行检验并出具合格报告</w:t>
      </w:r>
    </w:p>
    <w:p>
      <w:pPr>
        <w:widowControl/>
        <w:shd w:val="clear" w:color="auto" w:fill="FFFFFF"/>
        <w:spacing w:line="360" w:lineRule="auto"/>
        <w:ind w:left="899" w:leftChars="428"/>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3.医疗器械/试剂盒质量检验结果包括自检报告和具有资质的检验机构出具的产品注册检验合格报告</w:t>
      </w:r>
    </w:p>
    <w:p>
      <w:pPr>
        <w:widowControl/>
        <w:shd w:val="clear" w:color="auto" w:fill="FFFFFF"/>
        <w:spacing w:line="360" w:lineRule="auto"/>
        <w:ind w:left="718" w:leftChars="342"/>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【注意检测报告上批号、型号、规格等需和我中心收到的试验药或  器械批号一致】</w:t>
      </w:r>
    </w:p>
    <w:p>
      <w:pPr>
        <w:widowControl/>
        <w:shd w:val="clear" w:color="auto" w:fill="FFFFFF"/>
        <w:spacing w:line="360" w:lineRule="auto"/>
        <w:ind w:left="36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申办单位委托书</w:t>
      </w:r>
      <w:r>
        <w:rPr>
          <w:rFonts w:hint="eastAsia" w:ascii="宋体" w:hAnsi="宋体" w:cs="宋体"/>
          <w:spacing w:val="8"/>
          <w:kern w:val="0"/>
          <w:sz w:val="24"/>
          <w:shd w:val="clear" w:color="auto" w:fill="FFFFFF"/>
          <w:lang w:bidi="ar"/>
        </w:rPr>
        <w:t>（原件加盖申办方公章）</w:t>
      </w:r>
    </w:p>
    <w:p>
      <w:pPr>
        <w:widowControl/>
        <w:shd w:val="clear" w:color="auto" w:fill="FFFFFF"/>
        <w:spacing w:line="360" w:lineRule="auto"/>
        <w:ind w:left="718" w:leftChars="342"/>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1、若有CRO、SMO、检测单位：应分别含有申办方委托CRO、SMO、      检测单位委托书；CRO派遣CRA函及CRA身份证复印件；SMO派遣CRC函及CRC身份证复印件【注意机构立项时，SMO相关委托书和SMO派遣CRC函可暂缺，但启动前必须齐全】</w:t>
      </w:r>
    </w:p>
    <w:p>
      <w:pPr>
        <w:widowControl/>
        <w:shd w:val="clear" w:color="auto" w:fill="FFFFFF"/>
        <w:spacing w:line="360" w:lineRule="auto"/>
        <w:ind w:left="718" w:leftChars="342"/>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2、若无CRO、SMO、检测单位：申办单位委托书应包括申办方派遣   CRA函</w:t>
      </w:r>
    </w:p>
    <w:p>
      <w:pPr>
        <w:widowControl/>
        <w:shd w:val="clear" w:color="auto" w:fill="FFFFFF"/>
        <w:spacing w:line="360" w:lineRule="auto"/>
        <w:ind w:left="718" w:leftChars="342"/>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3、若除申办方、CRO、SMO、检测单位外，还有其他公司介入到试验中，则需要提供申办方委托其他公司的委托书</w:t>
      </w:r>
    </w:p>
    <w:p>
      <w:pPr>
        <w:widowControl/>
        <w:shd w:val="clear" w:color="auto" w:fill="FFFFFF"/>
        <w:spacing w:line="360" w:lineRule="auto"/>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主要研究者利益回避及保密声明</w:t>
      </w:r>
    </w:p>
    <w:p>
      <w:pPr>
        <w:widowControl/>
        <w:shd w:val="clear" w:color="auto" w:fill="FFFFFF"/>
        <w:spacing w:line="360" w:lineRule="auto"/>
        <w:ind w:firstLine="512" w:firstLineChars="20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【我中心有模板，亦可接受申办方版本】</w:t>
      </w:r>
    </w:p>
    <w:p>
      <w:pPr>
        <w:widowControl/>
        <w:shd w:val="clear" w:color="auto" w:fill="FFFFFF"/>
        <w:spacing w:line="360" w:lineRule="auto"/>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关于安慰剂使用的说明</w:t>
      </w:r>
      <w:r>
        <w:rPr>
          <w:rFonts w:hint="eastAsia" w:ascii="宋体" w:hAnsi="宋体" w:cs="宋体"/>
          <w:spacing w:val="8"/>
          <w:kern w:val="0"/>
          <w:sz w:val="24"/>
          <w:shd w:val="clear" w:color="auto" w:fill="FFFFFF"/>
          <w:lang w:bidi="ar"/>
        </w:rPr>
        <w:t>（如适用）</w:t>
      </w:r>
    </w:p>
    <w:p>
      <w:pPr>
        <w:widowControl/>
        <w:shd w:val="clear" w:color="auto" w:fill="FFFFFF"/>
        <w:spacing w:line="360" w:lineRule="auto"/>
        <w:ind w:firstLine="512" w:firstLineChars="20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【申办者需要盖章】</w:t>
      </w:r>
    </w:p>
    <w:p>
      <w:pPr>
        <w:widowControl/>
        <w:shd w:val="clear" w:color="auto" w:fill="FFFFFF"/>
        <w:spacing w:line="360" w:lineRule="auto"/>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其他受试者资料</w:t>
      </w:r>
    </w:p>
    <w:p>
      <w:pPr>
        <w:widowControl/>
        <w:shd w:val="clear" w:color="auto" w:fill="FFFFFF"/>
        <w:spacing w:line="360" w:lineRule="auto"/>
        <w:ind w:left="477" w:leftChars="227"/>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【指日志卡，生活质量调查问卷等相关材料可放在此栏，但均需申办  方盖章】</w:t>
      </w:r>
    </w:p>
    <w:p>
      <w:pPr>
        <w:widowControl/>
        <w:shd w:val="clear" w:color="auto" w:fill="FFFFFF"/>
        <w:spacing w:line="360" w:lineRule="auto"/>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立项申请表（不需申办方提供）</w:t>
      </w:r>
    </w:p>
    <w:p>
      <w:pPr>
        <w:widowControl/>
        <w:shd w:val="clear" w:color="auto" w:fill="FFFFFF"/>
        <w:spacing w:line="360" w:lineRule="auto"/>
        <w:ind w:left="36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【立项申请表由项目管理审核立项材料后可以立项时，由项目管理员出具此表】</w:t>
      </w:r>
    </w:p>
    <w:p>
      <w:pPr>
        <w:widowControl/>
        <w:shd w:val="clear" w:color="auto" w:fill="FFFFFF"/>
        <w:spacing w:line="360" w:lineRule="auto"/>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遗传办批件</w:t>
      </w:r>
      <w:r>
        <w:rPr>
          <w:rFonts w:hint="eastAsia" w:ascii="宋体" w:hAnsi="宋体" w:cs="宋体"/>
          <w:spacing w:val="8"/>
          <w:kern w:val="0"/>
          <w:sz w:val="24"/>
          <w:shd w:val="clear" w:color="auto" w:fill="FFFFFF"/>
          <w:lang w:bidi="ar"/>
        </w:rPr>
        <w:t>（如适用）</w:t>
      </w:r>
    </w:p>
    <w:p>
      <w:pPr>
        <w:widowControl/>
        <w:shd w:val="clear" w:color="auto" w:fill="FFFFFF"/>
        <w:spacing w:line="360" w:lineRule="auto"/>
        <w:ind w:firstLine="42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【注意遗传办批件需在项目启动前获得】</w:t>
      </w:r>
    </w:p>
    <w:p>
      <w:pPr>
        <w:widowControl/>
        <w:shd w:val="clear" w:color="auto" w:fill="FFFFFF"/>
        <w:spacing w:line="360" w:lineRule="auto"/>
        <w:ind w:left="42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我中心“承认组长单位伦理审查”这一条，专门只针对国家遗传办申报时适用，我中心机构立项前，当组长单位伦理通过后，亦可办理申请遗传办“承诺书”的签署，项目管理员凭申办方提供的人遗审批申请书找法人签字】</w:t>
      </w:r>
    </w:p>
    <w:p>
      <w:pPr>
        <w:widowControl/>
        <w:shd w:val="clear" w:color="auto" w:fill="FFFFFF"/>
        <w:spacing w:line="360" w:lineRule="auto"/>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临床试验有关的实验室检测正常值范围、医学或实验室操作的质控证明，</w:t>
      </w:r>
    </w:p>
    <w:p>
      <w:pPr>
        <w:widowControl/>
        <w:shd w:val="clear" w:color="auto" w:fill="FFFFFF"/>
        <w:spacing w:line="360" w:lineRule="auto"/>
        <w:ind w:firstLine="42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【向项目管理员索取】</w:t>
      </w:r>
    </w:p>
    <w:p>
      <w:pPr>
        <w:widowControl/>
        <w:shd w:val="clear" w:color="auto" w:fill="FFFFFF"/>
        <w:spacing w:line="360" w:lineRule="auto"/>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□省级</w:t>
      </w:r>
      <w:r>
        <w:rPr>
          <w:rFonts w:hint="eastAsia" w:ascii="宋体" w:hAnsi="宋体" w:cs="宋体"/>
          <w:b/>
          <w:spacing w:val="8"/>
          <w:kern w:val="0"/>
          <w:sz w:val="24"/>
          <w:shd w:val="clear" w:color="auto" w:fill="FFFFFF"/>
          <w:lang w:bidi="ar"/>
        </w:rPr>
        <w:t>药品监督管理局备案表（药物临床试验无需提供）</w:t>
      </w:r>
    </w:p>
    <w:p>
      <w:pPr>
        <w:widowControl/>
        <w:shd w:val="clear" w:color="auto" w:fill="FFFFFF"/>
        <w:spacing w:line="360" w:lineRule="auto"/>
        <w:ind w:firstLine="42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【需原件】</w:t>
      </w:r>
    </w:p>
    <w:p>
      <w:pPr>
        <w:widowControl/>
        <w:shd w:val="clear" w:color="auto" w:fill="FFFFFF"/>
        <w:spacing w:line="360" w:lineRule="auto"/>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w:t>
      </w:r>
      <w:r>
        <w:rPr>
          <w:rFonts w:hint="eastAsia" w:ascii="宋体" w:hAnsi="宋体" w:cs="宋体"/>
          <w:b/>
          <w:spacing w:val="8"/>
          <w:kern w:val="0"/>
          <w:sz w:val="24"/>
          <w:shd w:val="clear" w:color="auto" w:fill="FFFFFF"/>
          <w:lang w:bidi="ar"/>
        </w:rPr>
        <w:t>项目进度统计表</w:t>
      </w:r>
    </w:p>
    <w:p>
      <w:pPr>
        <w:widowControl/>
        <w:shd w:val="clear" w:color="auto" w:fill="FFFFFF"/>
        <w:spacing w:line="360" w:lineRule="auto"/>
        <w:ind w:firstLine="420"/>
        <w:jc w:val="left"/>
        <w:rPr>
          <w:rFonts w:hint="eastAsia" w:ascii="宋体" w:hAnsi="宋体" w:cs="宋体"/>
          <w:spacing w:val="8"/>
          <w:kern w:val="0"/>
          <w:sz w:val="24"/>
          <w:shd w:val="clear" w:color="auto" w:fill="FFFFFF"/>
        </w:rPr>
      </w:pPr>
      <w:r>
        <w:rPr>
          <w:rFonts w:hint="eastAsia" w:ascii="宋体" w:hAnsi="宋体" w:cs="宋体"/>
          <w:spacing w:val="8"/>
          <w:kern w:val="0"/>
          <w:sz w:val="24"/>
          <w:shd w:val="clear" w:color="auto" w:fill="FFFFFF"/>
          <w:lang w:bidi="ar"/>
        </w:rPr>
        <w:t>【请联系项目管理员索取模板，需签字、签署日期】</w:t>
      </w: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微软雅黑"/>
    <w:panose1 w:val="020B0503020204020204"/>
    <w:charset w:val="00"/>
    <w:family w:val="swiss"/>
    <w:pitch w:val="default"/>
    <w:sig w:usb0="00000000" w:usb1="00000000" w:usb2="00000016" w:usb3="00000000" w:csb0="0004001F" w:csb1="00000000"/>
  </w:font>
  <w:font w:name="Malgun Gothic Semilight">
    <w:altName w:val="Malgun Gothic"/>
    <w:panose1 w:val="020B0502040204020203"/>
    <w:charset w:val="00"/>
    <w:family w:val="swiss"/>
    <w:pitch w:val="default"/>
    <w:sig w:usb0="00000000" w:usb1="00000000" w:usb2="00000012" w:usb3="00000000" w:csb0="003E01BD" w:csb1="00000000"/>
  </w:font>
  <w:font w:name="Malgun Gothic">
    <w:panose1 w:val="020B0503020000020004"/>
    <w:charset w:val="81"/>
    <w:family w:val="auto"/>
    <w:pitch w:val="default"/>
    <w:sig w:usb0="900002AF" w:usb1="01D77CFB" w:usb2="00000012" w:usb3="00000000" w:csb0="00080001"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tabs>
        <w:tab w:val="center" w:pos="4320"/>
        <w:tab w:val="right" w:pos="8640"/>
        <w:tab w:val="clear" w:pos="4153"/>
        <w:tab w:val="clear" w:pos="8306"/>
      </w:tabs>
      <w:jc w:val="both"/>
    </w:pPr>
    <w:bookmarkStart w:id="0" w:name="OLE_LINK1"/>
    <w:r>
      <w:rPr>
        <w:rFonts w:hint="eastAsia"/>
        <w:bCs/>
      </w:rPr>
      <w:t xml:space="preserve">大连大学附属中山医院药物临床试验机构           临床试验申请SOP          </w:t>
    </w:r>
    <w:r>
      <w:rPr>
        <w:bCs/>
      </w:rPr>
      <w:t xml:space="preserve"> YWSOP-JG-0</w:t>
    </w:r>
    <w:r>
      <w:rPr>
        <w:rFonts w:hint="eastAsia"/>
        <w:bCs/>
      </w:rPr>
      <w:t>35</w:t>
    </w:r>
    <w:r>
      <w:rPr>
        <w:bCs/>
      </w:rPr>
      <w:t>-</w:t>
    </w:r>
    <w:r>
      <w:rPr>
        <w:rFonts w:hint="eastAsia"/>
        <w:bCs/>
      </w:rPr>
      <w:t>0</w:t>
    </w:r>
    <w:r>
      <w:rPr>
        <w:rFonts w:hint="eastAsia"/>
        <w:bCs/>
        <w:lang w:val="en-US" w:eastAsia="zh-CN"/>
      </w:rPr>
      <w:t>4</w:t>
    </w:r>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yYmMzMDI2N2U1ZmVhNzgzOWVhNzRlYWE4ZjYzYWIifQ=="/>
  </w:docVars>
  <w:rsids>
    <w:rsidRoot w:val="0ED932AC"/>
    <w:rsid w:val="0ED932AC"/>
    <w:rsid w:val="7CB91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2024-02-08T00:22:00Z</dcterms:created>
  <dc:creator>Dr. Yuan</dc:creator>
  <cp:lastModifiedBy>Dr. Yuan</cp:lastModifiedBy>
  <dcterms:modified xsi:type="dcterms:W3CDTF">2024-02-08T00:26:30Z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DFE04E4CB4F942ABA47A644F0CDC4B17_11</vt:lpwstr>
  </property>
</Properties>
</file>