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25C" w:rsidRDefault="0082125C" w:rsidP="0082125C">
      <w:pPr>
        <w:rPr>
          <w:rFonts w:hint="eastAsia"/>
        </w:rPr>
      </w:pPr>
      <w:r>
        <w:rPr>
          <w:rFonts w:hint="eastAsia"/>
        </w:rPr>
        <w:t>恶性肿瘤患者膳食营养处方专家共识解读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下列哪种食物对肿瘤而言</w:t>
      </w:r>
      <w:r>
        <w:rPr>
          <w:rFonts w:hint="eastAsia"/>
        </w:rPr>
        <w:t>,</w:t>
      </w:r>
      <w:r>
        <w:rPr>
          <w:rFonts w:hint="eastAsia"/>
        </w:rPr>
        <w:t>具有保护性作用（）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甜食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饮料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红糖白糖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#D.</w:t>
      </w:r>
      <w:r>
        <w:rPr>
          <w:rFonts w:hint="eastAsia"/>
        </w:rPr>
        <w:t>功能性寡糖</w:t>
      </w:r>
    </w:p>
    <w:p w:rsidR="0082125C" w:rsidRDefault="0082125C" w:rsidP="0082125C"/>
    <w:p w:rsidR="0082125C" w:rsidRDefault="0082125C" w:rsidP="0082125C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肿瘤患者宜选择下列哪种烹调方式（）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煎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炸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#C.</w:t>
      </w:r>
      <w:r>
        <w:rPr>
          <w:rFonts w:hint="eastAsia"/>
        </w:rPr>
        <w:t>蒸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</w:rPr>
        <w:t>烤</w:t>
      </w:r>
    </w:p>
    <w:p w:rsidR="0082125C" w:rsidRDefault="0082125C" w:rsidP="0082125C"/>
    <w:p w:rsidR="0082125C" w:rsidRDefault="0082125C" w:rsidP="0082125C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膳食、营养因素与肿瘤之间的关系中下列说法不正确的是（）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#A.</w:t>
      </w:r>
      <w:r>
        <w:rPr>
          <w:rFonts w:hint="eastAsia"/>
        </w:rPr>
        <w:t>肿瘤患者应针对自己情况的制定相应饮食计划，不应定时、定量、定餐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在治疗期间，适当运动可以改善机体功能，减轻疲劳，还能提高生活质量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膳食纤维对于预防肿瘤有着重要的作用作用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</w:rPr>
        <w:t>科学地服用抗氧化营养素能有效改善抗癌治疗的效果</w:t>
      </w:r>
    </w:p>
    <w:p w:rsidR="0082125C" w:rsidRDefault="0082125C" w:rsidP="0082125C"/>
    <w:p w:rsidR="0082125C" w:rsidRDefault="0082125C" w:rsidP="0082125C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下列不属于肿瘤患者常用营养筛查工具的是（）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营养风险筛查量表（</w:t>
      </w:r>
      <w:r>
        <w:rPr>
          <w:rFonts w:hint="eastAsia"/>
        </w:rPr>
        <w:t>NRS2002</w:t>
      </w:r>
      <w:r>
        <w:rPr>
          <w:rFonts w:hint="eastAsia"/>
        </w:rPr>
        <w:t>）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营养不良通用筛查工具（</w:t>
      </w:r>
      <w:r>
        <w:rPr>
          <w:rFonts w:hint="eastAsia"/>
        </w:rPr>
        <w:t>MUST</w:t>
      </w:r>
      <w:r>
        <w:rPr>
          <w:rFonts w:hint="eastAsia"/>
        </w:rPr>
        <w:t>）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营养不良筛查工具（</w:t>
      </w:r>
      <w:r>
        <w:rPr>
          <w:rFonts w:hint="eastAsia"/>
        </w:rPr>
        <w:t>MST</w:t>
      </w:r>
      <w:r>
        <w:rPr>
          <w:rFonts w:hint="eastAsia"/>
        </w:rPr>
        <w:t>）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#D.</w:t>
      </w:r>
      <w:r>
        <w:rPr>
          <w:rFonts w:hint="eastAsia"/>
        </w:rPr>
        <w:t>患者自评主观全面评定量表（</w:t>
      </w:r>
      <w:r>
        <w:rPr>
          <w:rFonts w:hint="eastAsia"/>
        </w:rPr>
        <w:t>PG-SGA</w:t>
      </w:r>
      <w:r>
        <w:rPr>
          <w:rFonts w:hint="eastAsia"/>
        </w:rPr>
        <w:t>）</w:t>
      </w:r>
    </w:p>
    <w:p w:rsidR="0082125C" w:rsidRDefault="0082125C" w:rsidP="0082125C"/>
    <w:p w:rsidR="0082125C" w:rsidRDefault="0082125C" w:rsidP="0082125C">
      <w:pPr>
        <w:rPr>
          <w:rFonts w:hint="eastAsia"/>
        </w:rPr>
      </w:pPr>
      <w:r>
        <w:rPr>
          <w:rFonts w:hint="eastAsia"/>
        </w:rPr>
        <w:lastRenderedPageBreak/>
        <w:t>5.</w:t>
      </w:r>
      <w:r>
        <w:rPr>
          <w:rFonts w:hint="eastAsia"/>
        </w:rPr>
        <w:t>下列关于肿瘤患者营养教育说法正确的是（）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强化营养咨询与营养教育不是肿瘤综合治疗的重要组成部分，不利于改善肿瘤患者的营养状况。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#B.</w:t>
      </w:r>
      <w:r>
        <w:rPr>
          <w:rFonts w:hint="eastAsia"/>
        </w:rPr>
        <w:t>营养教育对肿瘤患者的饮食习惯改善具有一定的促进作用。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营养干预不需要有营养师的参与。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</w:rPr>
        <w:t>营养教育应满足患者任何需求，有助于改善患者的生活行为和健康指标。</w:t>
      </w:r>
    </w:p>
    <w:p w:rsidR="0082125C" w:rsidRDefault="0082125C" w:rsidP="0082125C"/>
    <w:p w:rsidR="0082125C" w:rsidRDefault="0082125C" w:rsidP="0082125C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非终末期放、化疗患者的营养治疗下列说法不正确的是（）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放疗、化疗及联合放</w:t>
      </w:r>
      <w:r>
        <w:rPr>
          <w:rFonts w:hint="eastAsia"/>
        </w:rPr>
        <w:t>/</w:t>
      </w:r>
      <w:r>
        <w:rPr>
          <w:rFonts w:hint="eastAsia"/>
        </w:rPr>
        <w:t>化疗患者不常规推荐营养治疗。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放疗、化疗伴有明显不良反应的患者，如果已有明显不良反应，则应在放、化疗的同时进行营养治疗。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#C.</w:t>
      </w:r>
      <w:r>
        <w:rPr>
          <w:rFonts w:hint="eastAsia"/>
        </w:rPr>
        <w:t>头颈部肿瘤、吞咽困难、口腔黏膜炎患者口服比管饲更有效。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</w:rPr>
        <w:t>肿瘤放疗和（或）化疗致摄入减少以及体重丢失时，强化营养咨询可使大多患者摄入量增多、体重增加，肠内营养可以改善患者营养状况。</w:t>
      </w:r>
    </w:p>
    <w:p w:rsidR="0082125C" w:rsidRDefault="0082125C" w:rsidP="0082125C"/>
    <w:p w:rsidR="0082125C" w:rsidRDefault="0082125C" w:rsidP="0082125C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指导病人改变膳食习惯和生活方式四</w:t>
      </w:r>
      <w:r>
        <w:rPr>
          <w:rFonts w:hint="eastAsia"/>
        </w:rPr>
        <w:t>A</w:t>
      </w:r>
      <w:r>
        <w:rPr>
          <w:rFonts w:hint="eastAsia"/>
        </w:rPr>
        <w:t>原则下列说法错误的是（）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评价（</w:t>
      </w:r>
      <w:r>
        <w:rPr>
          <w:rFonts w:hint="eastAsia"/>
        </w:rPr>
        <w:t>Assesssment</w:t>
      </w:r>
      <w:r>
        <w:rPr>
          <w:rFonts w:hint="eastAsia"/>
        </w:rPr>
        <w:t>）对患者日常膳食方式和食物摄入频率进行评价。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询问（</w:t>
      </w:r>
      <w:r>
        <w:rPr>
          <w:rFonts w:hint="eastAsia"/>
        </w:rPr>
        <w:t>Ask</w:t>
      </w:r>
      <w:r>
        <w:rPr>
          <w:rFonts w:hint="eastAsia"/>
        </w:rPr>
        <w:t>）通过询问进一步了解患者的信念，对改变不良生活方式的障碍。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#C.</w:t>
      </w:r>
      <w:r>
        <w:rPr>
          <w:rFonts w:hint="eastAsia"/>
        </w:rPr>
        <w:t>劝告（</w:t>
      </w:r>
      <w:r>
        <w:rPr>
          <w:rFonts w:hint="eastAsia"/>
        </w:rPr>
        <w:t>Advice</w:t>
      </w:r>
      <w:r>
        <w:rPr>
          <w:rFonts w:hint="eastAsia"/>
        </w:rPr>
        <w:t>）对患者进行指导，鼓励从大量开始，从成功中树立信心。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</w:rPr>
        <w:t>随访（</w:t>
      </w:r>
      <w:r>
        <w:rPr>
          <w:rFonts w:hint="eastAsia"/>
        </w:rPr>
        <w:t>Arrangement</w:t>
      </w:r>
      <w:r>
        <w:rPr>
          <w:rFonts w:hint="eastAsia"/>
        </w:rPr>
        <w:t>）为了加强依从性，要定期随访，巩固已获得的成果，并设定下一目标。</w:t>
      </w:r>
    </w:p>
    <w:p w:rsidR="0082125C" w:rsidRDefault="0082125C" w:rsidP="0082125C"/>
    <w:p w:rsidR="0082125C" w:rsidRDefault="0082125C" w:rsidP="0082125C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下列关于患者水的摄入说法不正确的是（）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摄入的水应充足，预防因呕吐或腹泻而失去水分，出现脱水、电解质紊乱。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#B.</w:t>
      </w:r>
      <w:r>
        <w:rPr>
          <w:rFonts w:hint="eastAsia"/>
        </w:rPr>
        <w:t>建议每天可摄入</w:t>
      </w:r>
      <w:r>
        <w:rPr>
          <w:rFonts w:hint="eastAsia"/>
        </w:rPr>
        <w:t>100-200ml/kg</w:t>
      </w:r>
      <w:r>
        <w:rPr>
          <w:rFonts w:hint="eastAsia"/>
        </w:rPr>
        <w:t>的水。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如果伴有呕吐或腹泻，须额外补充。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lastRenderedPageBreak/>
        <w:t>D.</w:t>
      </w:r>
      <w:r>
        <w:rPr>
          <w:rFonts w:hint="eastAsia"/>
        </w:rPr>
        <w:t>所有液体</w:t>
      </w:r>
      <w:r>
        <w:rPr>
          <w:rFonts w:hint="eastAsia"/>
        </w:rPr>
        <w:t>(</w:t>
      </w:r>
      <w:r>
        <w:rPr>
          <w:rFonts w:hint="eastAsia"/>
        </w:rPr>
        <w:t>汤、牛奶、甚至冰激凌和明胶）都应被计入一天的需水量中。</w:t>
      </w:r>
    </w:p>
    <w:p w:rsidR="0082125C" w:rsidRDefault="0082125C" w:rsidP="0082125C"/>
    <w:p w:rsidR="0082125C" w:rsidRDefault="0082125C" w:rsidP="0082125C">
      <w:p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计算标准体重公式正确的是（）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标准体重</w:t>
      </w:r>
      <w:r>
        <w:rPr>
          <w:rFonts w:hint="eastAsia"/>
        </w:rPr>
        <w:t>=</w:t>
      </w:r>
      <w:r>
        <w:rPr>
          <w:rFonts w:hint="eastAsia"/>
        </w:rPr>
        <w:t>身高（</w:t>
      </w:r>
      <w:r>
        <w:rPr>
          <w:rFonts w:ascii="宋体" w:eastAsia="宋体" w:hAnsi="宋体" w:hint="eastAsia"/>
        </w:rPr>
        <w:t>㎝</w:t>
      </w:r>
      <w:r>
        <w:rPr>
          <w:rFonts w:ascii="微软雅黑" w:hAnsi="微软雅黑" w:cs="微软雅黑" w:hint="eastAsia"/>
        </w:rPr>
        <w:t>）</w:t>
      </w:r>
      <w:r>
        <w:rPr>
          <w:rFonts w:hint="eastAsia"/>
        </w:rPr>
        <w:t>-110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标准体重</w:t>
      </w:r>
      <w:r>
        <w:rPr>
          <w:rFonts w:hint="eastAsia"/>
        </w:rPr>
        <w:t>=</w:t>
      </w:r>
      <w:r>
        <w:rPr>
          <w:rFonts w:hint="eastAsia"/>
        </w:rPr>
        <w:t>身高（</w:t>
      </w:r>
      <w:r>
        <w:rPr>
          <w:rFonts w:ascii="宋体" w:eastAsia="宋体" w:hAnsi="宋体" w:hint="eastAsia"/>
        </w:rPr>
        <w:t>㎝</w:t>
      </w:r>
      <w:r>
        <w:rPr>
          <w:rFonts w:ascii="微软雅黑" w:hAnsi="微软雅黑" w:cs="微软雅黑" w:hint="eastAsia"/>
        </w:rPr>
        <w:t>）</w:t>
      </w:r>
      <w:r>
        <w:rPr>
          <w:rFonts w:hint="eastAsia"/>
        </w:rPr>
        <w:t>-95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标准体重</w:t>
      </w:r>
      <w:r>
        <w:rPr>
          <w:rFonts w:hint="eastAsia"/>
        </w:rPr>
        <w:t>=</w:t>
      </w:r>
      <w:r>
        <w:rPr>
          <w:rFonts w:hint="eastAsia"/>
        </w:rPr>
        <w:t>身高（</w:t>
      </w:r>
      <w:r>
        <w:rPr>
          <w:rFonts w:ascii="宋体" w:eastAsia="宋体" w:hAnsi="宋体" w:hint="eastAsia"/>
        </w:rPr>
        <w:t>㎝</w:t>
      </w:r>
      <w:r>
        <w:rPr>
          <w:rFonts w:ascii="微软雅黑" w:hAnsi="微软雅黑" w:cs="微软雅黑" w:hint="eastAsia"/>
        </w:rPr>
        <w:t>）</w:t>
      </w:r>
      <w:r>
        <w:rPr>
          <w:rFonts w:hint="eastAsia"/>
        </w:rPr>
        <w:t>-100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#D.</w:t>
      </w:r>
      <w:r>
        <w:rPr>
          <w:rFonts w:hint="eastAsia"/>
        </w:rPr>
        <w:t>标准体重</w:t>
      </w:r>
      <w:r>
        <w:rPr>
          <w:rFonts w:hint="eastAsia"/>
        </w:rPr>
        <w:t>=</w:t>
      </w:r>
      <w:r>
        <w:rPr>
          <w:rFonts w:hint="eastAsia"/>
        </w:rPr>
        <w:t>身高（</w:t>
      </w:r>
      <w:r>
        <w:rPr>
          <w:rFonts w:ascii="宋体" w:eastAsia="宋体" w:hAnsi="宋体" w:hint="eastAsia"/>
        </w:rPr>
        <w:t>㎝</w:t>
      </w:r>
      <w:r>
        <w:rPr>
          <w:rFonts w:ascii="微软雅黑" w:hAnsi="微软雅黑" w:cs="微软雅黑" w:hint="eastAsia"/>
        </w:rPr>
        <w:t>）</w:t>
      </w:r>
      <w:r>
        <w:rPr>
          <w:rFonts w:hint="eastAsia"/>
        </w:rPr>
        <w:t>-105</w:t>
      </w:r>
    </w:p>
    <w:p w:rsidR="0082125C" w:rsidRDefault="0082125C" w:rsidP="0082125C"/>
    <w:p w:rsidR="0082125C" w:rsidRDefault="0082125C" w:rsidP="0082125C"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关于肿瘤患者生活方式指导说法错误的是（）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#A.</w:t>
      </w:r>
      <w:r>
        <w:rPr>
          <w:rFonts w:hint="eastAsia"/>
        </w:rPr>
        <w:t>减少日常蔬菜、水果和奶制品摄入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戒酒如果不能戒掉，严格控制饮酒量，白酒一天不超过</w:t>
      </w:r>
      <w:r>
        <w:rPr>
          <w:rFonts w:hint="eastAsia"/>
        </w:rPr>
        <w:t>50ml</w:t>
      </w:r>
      <w:r>
        <w:rPr>
          <w:rFonts w:hint="eastAsia"/>
        </w:rPr>
        <w:t>，或葡萄糖酒</w:t>
      </w:r>
      <w:r>
        <w:rPr>
          <w:rFonts w:hint="eastAsia"/>
        </w:rPr>
        <w:t>250ml</w:t>
      </w:r>
      <w:r>
        <w:rPr>
          <w:rFonts w:hint="eastAsia"/>
        </w:rPr>
        <w:t>，或啤酒</w:t>
      </w:r>
      <w:r>
        <w:rPr>
          <w:rFonts w:hint="eastAsia"/>
        </w:rPr>
        <w:t>750ml</w:t>
      </w:r>
      <w:r>
        <w:rPr>
          <w:rFonts w:hint="eastAsia"/>
        </w:rPr>
        <w:t>。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建议戒烟</w:t>
      </w:r>
    </w:p>
    <w:p w:rsidR="0082125C" w:rsidRDefault="0082125C" w:rsidP="0082125C"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</w:rPr>
        <w:t>增加日常身体活动，坚持运动锻炼</w:t>
      </w:r>
    </w:p>
    <w:p w:rsidR="008B59B0" w:rsidRPr="0082125C" w:rsidRDefault="008B59B0" w:rsidP="0082125C"/>
    <w:sectPr w:rsidR="008B59B0" w:rsidRPr="0082125C" w:rsidSect="008B59B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54B" w:rsidRDefault="0093254B" w:rsidP="0082125C">
      <w:pPr>
        <w:spacing w:after="0"/>
      </w:pPr>
      <w:r>
        <w:separator/>
      </w:r>
    </w:p>
  </w:endnote>
  <w:endnote w:type="continuationSeparator" w:id="1">
    <w:p w:rsidR="0093254B" w:rsidRDefault="0093254B" w:rsidP="008212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54B" w:rsidRDefault="0093254B" w:rsidP="0082125C">
      <w:pPr>
        <w:spacing w:after="0"/>
      </w:pPr>
      <w:r>
        <w:separator/>
      </w:r>
    </w:p>
  </w:footnote>
  <w:footnote w:type="continuationSeparator" w:id="1">
    <w:p w:rsidR="0093254B" w:rsidRDefault="0093254B" w:rsidP="0082125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tmpl w:val="08284D9E"/>
    <w:lvl w:ilvl="0" w:tplc="0002CB94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9BE2C6B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A49A1B3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CFEA0224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89EE10A2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92AC58EE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36CA3672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21A8969E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B88E9DA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0000001"/>
    <w:multiLevelType w:val="hybridMultilevel"/>
    <w:tmpl w:val="105CEF3E"/>
    <w:lvl w:ilvl="0" w:tplc="CC14C374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B45A6B12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F904B7C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FD63680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1722CC06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AEC2D834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D916BD5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44747928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933A7D60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0000002"/>
    <w:multiLevelType w:val="hybridMultilevel"/>
    <w:tmpl w:val="C76634BE"/>
    <w:lvl w:ilvl="0" w:tplc="A4C6ACA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 w:tplc="0B12F8D2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 w:tplc="27AEAAD2" w:tentative="1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B8A64BD8" w:tentative="1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 w:tplc="190402FC" w:tentative="1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 w:tplc="D4B48938" w:tentative="1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8F400BF6" w:tentative="1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 w:tplc="4F945E3E" w:tentative="1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 w:tplc="0832B718" w:tentative="1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3"/>
    <w:multiLevelType w:val="hybridMultilevel"/>
    <w:tmpl w:val="F5846B86"/>
    <w:lvl w:ilvl="0" w:tplc="69902F66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C3D6A2AE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867E192C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F49C9D16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42657B0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70446378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5B2E82CE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AD3A2436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B42EB954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00000004"/>
    <w:multiLevelType w:val="hybridMultilevel"/>
    <w:tmpl w:val="3A5675C2"/>
    <w:lvl w:ilvl="0" w:tplc="1C2E657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17628446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F6A8B7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B6681A6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2E56F70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1D4AE5EA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FD484DF4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22401E6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2A381526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00000005"/>
    <w:multiLevelType w:val="hybridMultilevel"/>
    <w:tmpl w:val="6B981C04"/>
    <w:lvl w:ilvl="0" w:tplc="3A345916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 w:tplc="09509340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 w:tplc="A21811CC" w:tentative="1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FA96E5C4" w:tentative="1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 w:tplc="3B12A0A8" w:tentative="1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 w:tplc="F5C8ACEA" w:tentative="1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1E7CE024" w:tentative="1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 w:tplc="60040488" w:tentative="1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 w:tplc="0DD026EE" w:tentative="1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06"/>
    <w:multiLevelType w:val="hybridMultilevel"/>
    <w:tmpl w:val="85DA8578"/>
    <w:lvl w:ilvl="0" w:tplc="B59A7FC4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712849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FAA65AF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917EFF68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2BAD826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B45CE270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823236F8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48ECFAB0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E8D03656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00000007"/>
    <w:multiLevelType w:val="hybridMultilevel"/>
    <w:tmpl w:val="23721962"/>
    <w:lvl w:ilvl="0" w:tplc="1974CE7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 w:tplc="45D43786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 w:tplc="99060674" w:tentative="1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6D2E4C2" w:tentative="1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 w:tplc="A0B48462" w:tentative="1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 w:tplc="159ED342" w:tentative="1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389AD514" w:tentative="1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 w:tplc="1026FEA0" w:tentative="1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 w:tplc="C93A3BA8" w:tentative="1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0000008"/>
    <w:multiLevelType w:val="hybridMultilevel"/>
    <w:tmpl w:val="55FC0AE8"/>
    <w:lvl w:ilvl="0" w:tplc="C7FEEA42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 w:tplc="A0FC5136" w:tentative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 w:tplc="0F885190" w:tentative="1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6FBE3564" w:tentative="1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 w:tplc="B91CEEE6" w:tentative="1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 w:tplc="838048E8" w:tentative="1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5B04341A" w:tentative="1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 w:tplc="51E4E9AC" w:tentative="1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 w:tplc="3148E9B6" w:tentative="1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0000009"/>
    <w:multiLevelType w:val="hybridMultilevel"/>
    <w:tmpl w:val="BF9EB2CA"/>
    <w:lvl w:ilvl="0" w:tplc="7A8CE6EE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DFDCAC0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FBF2FA4E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12B057CE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E29E88FA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66E6FAEA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6B447FC4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17A0A2F4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E0D0140A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6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B59B0"/>
    <w:rsid w:val="0082125C"/>
    <w:rsid w:val="008B59B0"/>
    <w:rsid w:val="009325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宋体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B0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59B0"/>
    <w:pPr>
      <w:adjustRightInd/>
      <w:snapToGrid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34"/>
    <w:qFormat/>
    <w:rsid w:val="008B59B0"/>
    <w:pPr>
      <w:adjustRightInd/>
      <w:snapToGrid/>
      <w:spacing w:after="0"/>
      <w:ind w:firstLineChars="200" w:firstLine="420"/>
    </w:pPr>
    <w:rPr>
      <w:rFonts w:ascii="宋体" w:eastAsia="宋体" w:hAnsi="宋体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82125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2125C"/>
    <w:rPr>
      <w:rFonts w:ascii="Tahoma" w:hAnsi="Tahoma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2125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2125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187</Words>
  <Characters>1070</Characters>
  <Application>Microsoft Office Word</Application>
  <DocSecurity>0</DocSecurity>
  <Lines>8</Lines>
  <Paragraphs>2</Paragraphs>
  <ScaleCrop>false</ScaleCrop>
  <Company>Microsoft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zhanpc</cp:lastModifiedBy>
  <cp:revision>34</cp:revision>
  <dcterms:created xsi:type="dcterms:W3CDTF">2008-09-11T17:20:00Z</dcterms:created>
  <dcterms:modified xsi:type="dcterms:W3CDTF">2019-05-08T03:15:00Z</dcterms:modified>
</cp:coreProperties>
</file>