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宋体" w:hAnsi="宋体" w:eastAsia="宋体" w:cs="宋体"/>
          <w:b/>
          <w:color w:val="auto"/>
          <w:sz w:val="24"/>
          <w:szCs w:val="24"/>
        </w:rPr>
      </w:pPr>
    </w:p>
    <w:p>
      <w:pPr>
        <w:pStyle w:val="2"/>
        <w:keepNext w:val="0"/>
        <w:keepLines w:val="0"/>
        <w:widowControl/>
        <w:suppressLineNumbers w:val="0"/>
        <w:wordWrap w:val="0"/>
        <w:spacing w:line="480" w:lineRule="auto"/>
        <w:jc w:val="center"/>
        <w:rPr>
          <w:color w:val="000000"/>
          <w:sz w:val="21"/>
          <w:szCs w:val="21"/>
        </w:rPr>
      </w:pPr>
      <w:bookmarkStart w:id="0" w:name="_GoBack"/>
      <w:r>
        <w:rPr>
          <w:rStyle w:val="4"/>
          <w:rFonts w:hint="eastAsia" w:ascii="宋体" w:hAnsi="宋体" w:eastAsia="宋体" w:cs="宋体"/>
          <w:color w:val="FF0000"/>
          <w:sz w:val="48"/>
          <w:szCs w:val="48"/>
        </w:rPr>
        <w:t>国家食品药品监督管理总局令</w:t>
      </w:r>
      <w:bookmarkEnd w:id="0"/>
    </w:p>
    <w:p>
      <w:pPr>
        <w:pStyle w:val="2"/>
        <w:keepNext w:val="0"/>
        <w:keepLines w:val="0"/>
        <w:widowControl/>
        <w:suppressLineNumbers w:val="0"/>
        <w:wordWrap w:val="0"/>
        <w:spacing w:line="480" w:lineRule="auto"/>
        <w:jc w:val="center"/>
        <w:rPr>
          <w:b/>
          <w:bCs/>
          <w:color w:val="000000"/>
          <w:sz w:val="24"/>
          <w:szCs w:val="24"/>
        </w:rPr>
      </w:pPr>
      <w:r>
        <w:rPr>
          <w:rFonts w:hint="eastAsia" w:ascii="宋体" w:hAnsi="宋体" w:eastAsia="宋体" w:cs="宋体"/>
          <w:b/>
          <w:bCs/>
          <w:color w:val="000000"/>
          <w:sz w:val="24"/>
          <w:szCs w:val="24"/>
        </w:rPr>
        <w:t>第24号</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《特殊医学用途配方食品注册管理办法》已于2015年12月8日经国家食品药品监督管理总局局务会议审议通过，现予公布，自2016年7月1日起施行。</w:t>
      </w:r>
    </w:p>
    <w:p>
      <w:pPr>
        <w:pStyle w:val="2"/>
        <w:keepNext w:val="0"/>
        <w:keepLines w:val="0"/>
        <w:widowControl/>
        <w:suppressLineNumbers w:val="0"/>
        <w:wordWrap w:val="0"/>
        <w:spacing w:line="480" w:lineRule="auto"/>
        <w:jc w:val="center"/>
        <w:rPr>
          <w:rFonts w:hint="eastAsia" w:ascii="宋体" w:hAnsi="宋体" w:eastAsia="宋体" w:cs="宋体"/>
          <w:color w:val="000000"/>
          <w:sz w:val="21"/>
          <w:szCs w:val="21"/>
        </w:rPr>
      </w:pP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21"/>
          <w:szCs w:val="21"/>
        </w:rPr>
        <w:t>局 长 毕井泉</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21"/>
          <w:szCs w:val="21"/>
        </w:rPr>
        <w:t>2016年3月7日</w:t>
      </w:r>
    </w:p>
    <w:p>
      <w:pPr>
        <w:pStyle w:val="2"/>
        <w:keepNext w:val="0"/>
        <w:keepLines w:val="0"/>
        <w:widowControl/>
        <w:suppressLineNumbers w:val="0"/>
        <w:wordWrap w:val="0"/>
        <w:spacing w:line="480" w:lineRule="auto"/>
        <w:jc w:val="center"/>
        <w:rPr>
          <w:rFonts w:hint="eastAsia" w:ascii="宋体" w:hAnsi="宋体" w:eastAsia="宋体" w:cs="宋体"/>
          <w:color w:val="000000"/>
          <w:sz w:val="21"/>
          <w:szCs w:val="21"/>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0"/>
          <w:szCs w:val="30"/>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0"/>
          <w:szCs w:val="30"/>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0"/>
          <w:szCs w:val="30"/>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0"/>
          <w:szCs w:val="30"/>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0"/>
          <w:szCs w:val="30"/>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0"/>
          <w:szCs w:val="30"/>
        </w:rPr>
      </w:pP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30"/>
          <w:szCs w:val="30"/>
        </w:rPr>
        <w:t>特殊医学用途配方食品注册管理办法</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Style w:val="4"/>
          <w:rFonts w:hint="eastAsia" w:ascii="宋体" w:hAnsi="宋体" w:eastAsia="宋体" w:cs="宋体"/>
          <w:color w:val="000000"/>
          <w:sz w:val="21"/>
          <w:szCs w:val="21"/>
        </w:rPr>
        <w:t>第一章 总 则</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第一条</w:t>
      </w:r>
      <w:r>
        <w:rPr>
          <w:rFonts w:hint="eastAsia" w:ascii="宋体" w:hAnsi="宋体" w:eastAsia="宋体" w:cs="宋体"/>
          <w:color w:val="000000"/>
          <w:sz w:val="21"/>
          <w:szCs w:val="21"/>
        </w:rPr>
        <w:t xml:space="preserve"> 为规范特殊医学用途配方食品注册行为，加强注册管理，保证特殊医学用途配方食品质量安全，根据《中华人民共和国食品安全法》等法律法规，制定本办法。</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第二条</w:t>
      </w:r>
      <w:r>
        <w:rPr>
          <w:rFonts w:hint="eastAsia" w:ascii="宋体" w:hAnsi="宋体" w:eastAsia="宋体" w:cs="宋体"/>
          <w:color w:val="000000"/>
          <w:sz w:val="21"/>
          <w:szCs w:val="21"/>
        </w:rPr>
        <w:t xml:space="preserve"> 在中华人民共和国境内生产销售和进口的特殊医学用途配方食品的注册管理，适用本办法。</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第三条 </w:t>
      </w:r>
      <w:r>
        <w:rPr>
          <w:rFonts w:hint="eastAsia" w:ascii="宋体" w:hAnsi="宋体" w:eastAsia="宋体" w:cs="宋体"/>
          <w:color w:val="000000"/>
          <w:sz w:val="21"/>
          <w:szCs w:val="21"/>
        </w:rPr>
        <w:t>特殊医学用途配方食品注册，是指国家食品药品监督管理总局根据申请，依照本办法规定的程序和要求，对特殊医学用途配方食品的产品配方、生产工艺、标签、说明书以及产品安全性、营养充足性和特殊医学用途临床效果进行审查，并决定是否准予注册的过程。</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第四条</w:t>
      </w:r>
      <w:r>
        <w:rPr>
          <w:rFonts w:hint="eastAsia" w:ascii="宋体" w:hAnsi="宋体" w:eastAsia="宋体" w:cs="宋体"/>
          <w:color w:val="000000"/>
          <w:sz w:val="21"/>
          <w:szCs w:val="21"/>
        </w:rPr>
        <w:t xml:space="preserve"> 特殊医学用途配方食品注册管理，应当遵循科学、公开、公平、公正的原则。</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第五条</w:t>
      </w:r>
      <w:r>
        <w:rPr>
          <w:rFonts w:hint="eastAsia" w:ascii="宋体" w:hAnsi="宋体" w:eastAsia="宋体" w:cs="宋体"/>
          <w:color w:val="000000"/>
          <w:sz w:val="21"/>
          <w:szCs w:val="21"/>
        </w:rPr>
        <w:t xml:space="preserve"> 国家食品药品监督管理总局负责特殊医学用途配方食品的注册管理工作。</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国家食品药品监督管理总局行政受理机构（以下简称受理机构）负责特殊医学用途配方食品注册申请的受理工作。</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国家食品药品监督管理总局食品审评机构（以下简称审评机构）负责特殊医学用途配方食品注册申请的审评工作。</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国家食品药品监督管理总局审核查验机构（以下简称核查机构）负责特殊医学用途配方食品注册审评过程中的现场核查工作。</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第六条</w:t>
      </w:r>
      <w:r>
        <w:rPr>
          <w:rFonts w:hint="eastAsia" w:ascii="宋体" w:hAnsi="宋体" w:eastAsia="宋体" w:cs="宋体"/>
          <w:color w:val="000000"/>
          <w:sz w:val="21"/>
          <w:szCs w:val="21"/>
        </w:rPr>
        <w:t xml:space="preserve"> 国家食品药品监督管理总局组建由食品营养、临床医学、食品安全、食品加工等领域专家组成的特殊医学用途配方食品注册审评专家库。</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第七条</w:t>
      </w:r>
      <w:r>
        <w:rPr>
          <w:rFonts w:hint="eastAsia" w:ascii="宋体" w:hAnsi="宋体" w:eastAsia="宋体" w:cs="宋体"/>
          <w:color w:val="000000"/>
          <w:sz w:val="21"/>
          <w:szCs w:val="21"/>
        </w:rPr>
        <w:t xml:space="preserve"> 国家食品药品监督管理总局应当加强信息化建设，提高特殊医学用途配方食品注册管理信息化水平。</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第二章 注 册</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第一节 申请与受理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第八条 </w:t>
      </w:r>
      <w:r>
        <w:rPr>
          <w:rFonts w:hint="eastAsia" w:ascii="宋体" w:hAnsi="宋体" w:eastAsia="宋体" w:cs="宋体"/>
          <w:color w:val="000000"/>
          <w:sz w:val="21"/>
          <w:szCs w:val="21"/>
        </w:rPr>
        <w:t>特殊医学用途配方食品注册申请人（以下简称申请人）应当为拟在我国境内生产并销售特殊医学用途配方食品的生产企业和拟向我国境内出口特殊医学用途配方食品的境外生产企业。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申请人应当具备与所生产特殊医学用途配方食品相适应的研发、生产能力，设立特殊医学用途配方食品研发机构，配备专职的产品研发人员、食品安全管理人员和食品安全专业技术人员，按照良好生产规范要求建立与所生产食品相适应的生产质量管理体系，具备按照特殊医学用途配方食品国家标准规定的全部项目逐批检验的能力。</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研发机构中应当有食品相关专业高级职称或者相应专业能力的人员。</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第九条</w:t>
      </w:r>
      <w:r>
        <w:rPr>
          <w:rFonts w:hint="eastAsia" w:ascii="宋体" w:hAnsi="宋体" w:eastAsia="宋体" w:cs="宋体"/>
          <w:color w:val="000000"/>
          <w:sz w:val="21"/>
          <w:szCs w:val="21"/>
        </w:rPr>
        <w:t xml:space="preserve"> 申请特殊医学用途配方食品注册，应当向国家食品药品监督管理总局提交下列材料：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（一）特殊医学用途配方食品注册申请书；</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（二）产品研发报告和产品配方设计及其依据；</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（三）生产工艺资料；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（四）产品标准要求；</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（五）产品标签、说明书样稿；</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（六）试验样品检验报告；</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（七）研发、生产和检验能力证明材料；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（八）其他表明产品安全性、营养充足性以及特殊医学用途临床效果的材料。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申请特定全营养配方食品注册，还应当提交临床试验报告。</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申请人应当对其申请材料的真实性负责。</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第十条 </w:t>
      </w:r>
      <w:r>
        <w:rPr>
          <w:rFonts w:hint="eastAsia" w:ascii="宋体" w:hAnsi="宋体" w:eastAsia="宋体" w:cs="宋体"/>
          <w:color w:val="000000"/>
          <w:sz w:val="21"/>
          <w:szCs w:val="21"/>
        </w:rPr>
        <w:t>受理机构对申请人提出的特殊医学用途配方食品注册申请，应当根据下列情况分别作出处理：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（一）申请事项依法不需要进行注册的，应当即时告知申请人不受理；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（二）申请事项依法不属于国家食品药品监督管理总局职权范围的，应当即时作出不予受理的决定，并告知申请人向有关行政机关申请；</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（三）申请材料存在可以当场更正的错误的，应当允许申请人当场更正；</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（四）申请材料不齐全或者不符合法定形式的，应当当场或者在5个工作日内一次告知申请人需要补正的全部内容，逾期不告知的，自收到申请材料之日起即为受理；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（五）申请事项属于国家食品药品监督管理总局职权范围，申请材料齐全、符合法定形式，或者申请人按照要求提交全部补正申请材料的，应当受理注册申请。</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xml:space="preserve">　　受理机构受理或者不予受理注册申请，应当出具加盖国家食品药品监督管理总局行政许可受理专用章和注明日期的书面凭证。 </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第二节 审查与决定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第十一条</w:t>
      </w:r>
      <w:r>
        <w:rPr>
          <w:rFonts w:hint="eastAsia" w:ascii="宋体" w:hAnsi="宋体" w:eastAsia="宋体" w:cs="宋体"/>
          <w:color w:val="000000"/>
          <w:sz w:val="21"/>
          <w:szCs w:val="21"/>
        </w:rPr>
        <w:t xml:space="preserve"> 审评机构应当对申请材料进行审查，并根据实际需要组织对申请人进行现场核查、对试验样品进行抽样检验、对临床试验进行现场核查和对专业问题进行专家论证。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第十二条</w:t>
      </w:r>
      <w:r>
        <w:rPr>
          <w:rFonts w:hint="eastAsia" w:ascii="宋体" w:hAnsi="宋体" w:eastAsia="宋体" w:cs="宋体"/>
          <w:color w:val="000000"/>
          <w:sz w:val="21"/>
          <w:szCs w:val="21"/>
        </w:rPr>
        <w:t xml:space="preserve"> 核查机构应当自接到审评机构通知之日起20个工作日内完成对申请人的研发能力、生产能力、检验能力等情况的现场核查，并出具核查报告。</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核查机构应当通知申请人所在地省级食品药品监督管理部门参与现场核查，省级食品药品监督管理部门应当派员参与现场核查。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第十三条</w:t>
      </w:r>
      <w:r>
        <w:rPr>
          <w:rFonts w:hint="eastAsia" w:ascii="宋体" w:hAnsi="宋体" w:eastAsia="宋体" w:cs="宋体"/>
          <w:color w:val="000000"/>
          <w:sz w:val="21"/>
          <w:szCs w:val="21"/>
        </w:rPr>
        <w:t xml:space="preserve"> 审评机构应当委托具有法定资质的食品检验机构进行抽样检验。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检验机构应当自接受委托之日起30个工作日内完成抽样检验。</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第十四条</w:t>
      </w:r>
      <w:r>
        <w:rPr>
          <w:rFonts w:hint="eastAsia" w:ascii="宋体" w:hAnsi="宋体" w:eastAsia="宋体" w:cs="宋体"/>
          <w:color w:val="000000"/>
          <w:sz w:val="21"/>
          <w:szCs w:val="21"/>
        </w:rPr>
        <w:t xml:space="preserve"> 核查机构应当自接到审评机构通知之日起40个工作日内完成对临床试验的真实性、完整性、准确性等情况的现场核查，并出具核查报告。</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第十五条</w:t>
      </w:r>
      <w:r>
        <w:rPr>
          <w:rFonts w:hint="eastAsia" w:ascii="宋体" w:hAnsi="宋体" w:eastAsia="宋体" w:cs="宋体"/>
          <w:color w:val="000000"/>
          <w:sz w:val="21"/>
          <w:szCs w:val="21"/>
        </w:rPr>
        <w:t xml:space="preserve"> 审评机构可以从特殊医学用途配方食品注册审评专家库中选取专家，对审评过程中遇到的问题进行论证，并形成专家意见。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第十六条</w:t>
      </w:r>
      <w:r>
        <w:rPr>
          <w:rFonts w:hint="eastAsia" w:ascii="宋体" w:hAnsi="宋体" w:eastAsia="宋体" w:cs="宋体"/>
          <w:color w:val="000000"/>
          <w:sz w:val="21"/>
          <w:szCs w:val="21"/>
        </w:rPr>
        <w:t xml:space="preserve"> 审评机构应当自收到受理材料之日起60个工作日内根据核查报告、检验报告以及专家意见完成技术审评工作，并作出审查结论。</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审评过程中需要申请人补正材料的，审评机构应当一次告知需要补正的全部内容。申请人应当在6个月内一次补正材料。补正材料的时间不计算在审评时间内。</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特殊情况下需要延长审评时间的，经审评机构负责人同意，可以延长30个工作日，延长决定应当及时书面告知申请人。</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第十七条</w:t>
      </w:r>
      <w:r>
        <w:rPr>
          <w:rFonts w:hint="eastAsia" w:ascii="宋体" w:hAnsi="宋体" w:eastAsia="宋体" w:cs="宋体"/>
          <w:color w:val="000000"/>
          <w:sz w:val="21"/>
          <w:szCs w:val="21"/>
        </w:rPr>
        <w:t xml:space="preserve"> 审评机构认为申请材料真实，产品科学、安全，生产工艺合理、可行和质量可控，技术要求和检验方法科学、合理的，应当提出予以注册的建议。 </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审评机构提出不予注册建议的，应当向申请人发出拟不予注册的书面通知。申请人对通知有异议的，应当自收到通知之日起20个工作日内向审评机构提出书面复审申请并说明复审理由。复审的内容仅限于原申请事项及申请材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审评机构应当自受理复审申请之日起30个工作日内作出复审决定。改变不予注册建议的，应当书面通知注册申请人。</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第十八条</w:t>
      </w:r>
      <w:r>
        <w:rPr>
          <w:rFonts w:hint="eastAsia" w:ascii="宋体" w:hAnsi="宋体" w:eastAsia="宋体" w:cs="宋体"/>
          <w:color w:val="000000"/>
          <w:sz w:val="21"/>
          <w:szCs w:val="21"/>
        </w:rPr>
        <w:t xml:space="preserve"> 国家食品药品监督管理总局应当自受理申请之日起20个工作日内对特殊医学用途配方食品注册申请作出是否准予注册的决定。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现场核查、抽样检验、复审所需要的时间不计算在审评和注册决定的期限内。</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对于申请进口特殊医学用途配方食品注册的，应当根据境外生产企业的实际情况，确定境外现场核查和抽样检验时限。</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第十九条</w:t>
      </w:r>
      <w:r>
        <w:rPr>
          <w:rFonts w:hint="eastAsia" w:ascii="宋体" w:hAnsi="宋体" w:eastAsia="宋体" w:cs="宋体"/>
          <w:color w:val="000000"/>
          <w:sz w:val="21"/>
          <w:szCs w:val="21"/>
        </w:rPr>
        <w:t xml:space="preserve"> 国家食品药品监督管理总局作出准予注册决定的，受理机构自决定之日起10个工作日内颁发、送达特殊医学用途配方食品注册证书；作出不予注册决定的，应当说明理由，受理机构自决定之日起10个工作日内发出特殊医学用途配方食品不予注册决定，并告知申请人享有依法申请行政复议或者提起行政诉讼的权利。</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特殊医学用途配方食品注册证书有效期限为5年。</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第二十条</w:t>
      </w:r>
      <w:r>
        <w:rPr>
          <w:rFonts w:hint="eastAsia" w:ascii="宋体" w:hAnsi="宋体" w:eastAsia="宋体" w:cs="宋体"/>
          <w:color w:val="000000"/>
          <w:sz w:val="21"/>
          <w:szCs w:val="21"/>
        </w:rPr>
        <w:t xml:space="preserve"> 特殊医学用途配方食品注册证书及附件应当载明下列事项：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（一）产品名称；</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（二）企业名称、生产地址；</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（三）注册号及有效期；</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（四）产品类别；</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（五）产品配方；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（六）生产工艺；</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（七）产品标签、说明书。</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特殊医学用途配方食品注册号的格式为：国食注字TY+4位年号+4位顺序号，其中TY代表特殊医学用途配方食品。</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第三节 变更与延续注册</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第二十一条 </w:t>
      </w:r>
      <w:r>
        <w:rPr>
          <w:rFonts w:hint="eastAsia" w:ascii="宋体" w:hAnsi="宋体" w:eastAsia="宋体" w:cs="宋体"/>
          <w:color w:val="000000"/>
          <w:sz w:val="21"/>
          <w:szCs w:val="21"/>
        </w:rPr>
        <w:t>申请人需要变更特殊医学用途配方食品注册证书及其附件载明事项的，应当向国家食品药品监督管理总局提出变更注册申请，并提交下列材料：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（一）特殊医学用途配方食品变更注册申请书；</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（二）变更注册证书及其附件载明事项的证明材料。</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第二十二条 </w:t>
      </w:r>
      <w:r>
        <w:rPr>
          <w:rFonts w:hint="eastAsia" w:ascii="宋体" w:hAnsi="宋体" w:eastAsia="宋体" w:cs="宋体"/>
          <w:color w:val="000000"/>
          <w:sz w:val="21"/>
          <w:szCs w:val="21"/>
        </w:rPr>
        <w:t>申请人变更产品配方、生产工艺等可能影响产品安全性、营养充足性以及特殊医学用途临床效果的事项，国家食品药品监督管理总局应当进行实质性审查，并在本办法第十八条规定的期限内完成变更注册工作。</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申请人变更企业名称、生产地址名称等不影响产品安全性、营养充足性以及特殊医学用途临床效果的事项，国家食品药品监督管理总局应当进行核实，并自受理之日起10个工作日内作出是否准予变更注册的决定。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第二十三条 </w:t>
      </w:r>
      <w:r>
        <w:rPr>
          <w:rFonts w:hint="eastAsia" w:ascii="宋体" w:hAnsi="宋体" w:eastAsia="宋体" w:cs="宋体"/>
          <w:color w:val="000000"/>
          <w:sz w:val="21"/>
          <w:szCs w:val="21"/>
        </w:rPr>
        <w:t>国家食品药品监督管理总局准予变更注册申请的，向申请人换发注册证书，原注册号不变，证书有效期不变；不予批准变更注册申请的，应当作出不予变更注册决定。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第二十四条</w:t>
      </w:r>
      <w:r>
        <w:rPr>
          <w:rFonts w:hint="eastAsia" w:ascii="宋体" w:hAnsi="宋体" w:eastAsia="宋体" w:cs="宋体"/>
          <w:color w:val="000000"/>
          <w:sz w:val="21"/>
          <w:szCs w:val="21"/>
        </w:rPr>
        <w:t xml:space="preserve"> 特殊医学用途配方食品注册证书有效期届满，需要继续生产或者进口的，应当在有效期届满6个月前，向国家食品药品监督管理总局提出延续注册申请，并提交下列材料：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（一）特殊医学用途配方食品延续注册申请书；</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（二）特殊医学用途配方食品质量安全管理情况；</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（三）特殊医学用途配方食品质量管理体系自查报告；</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（四）特殊医学用途配方食品跟踪评价情况。</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第二十五条</w:t>
      </w:r>
      <w:r>
        <w:rPr>
          <w:rFonts w:hint="eastAsia" w:ascii="宋体" w:hAnsi="宋体" w:eastAsia="宋体" w:cs="宋体"/>
          <w:color w:val="000000"/>
          <w:sz w:val="21"/>
          <w:szCs w:val="21"/>
        </w:rPr>
        <w:t xml:space="preserve"> 国家食品药品监督管理总局根据需要对延续注册申请进行实质性审查，并在本办法第十八条规定的期限内完成延续注册工作。逾期未作决定的，视为准予延续。</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第二十六条 </w:t>
      </w:r>
      <w:r>
        <w:rPr>
          <w:rFonts w:hint="eastAsia" w:ascii="宋体" w:hAnsi="宋体" w:eastAsia="宋体" w:cs="宋体"/>
          <w:color w:val="000000"/>
          <w:sz w:val="21"/>
          <w:szCs w:val="21"/>
        </w:rPr>
        <w:t>国家食品药品监督管理总局准予延续注册的，向申请人换发注册证书，原注册号不变，证书有效期自批准之日起重新计算；不批准延续注册申请的，应当作出不予延续注册决定。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第二十七条</w:t>
      </w:r>
      <w:r>
        <w:rPr>
          <w:rFonts w:hint="eastAsia" w:ascii="宋体" w:hAnsi="宋体" w:eastAsia="宋体" w:cs="宋体"/>
          <w:color w:val="000000"/>
          <w:sz w:val="21"/>
          <w:szCs w:val="21"/>
        </w:rPr>
        <w:t xml:space="preserve"> 有下列情形之一的，不予延续注册：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xml:space="preserve">　　（一）注册人未在规定时间内提出延续注册申请的； </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（二）注册产品连续12个月内在省级以上监督抽检中出现3批次以上不合格的；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（三）企业未能保持注册时生产、检验能力的；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（四）其他不符合法律法规以及产品安全性、营养充足性和特殊医学用途临床效果要求的情形。</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第二十八条</w:t>
      </w:r>
      <w:r>
        <w:rPr>
          <w:rFonts w:hint="eastAsia" w:ascii="宋体" w:hAnsi="宋体" w:eastAsia="宋体" w:cs="宋体"/>
          <w:color w:val="000000"/>
          <w:sz w:val="21"/>
          <w:szCs w:val="21"/>
        </w:rPr>
        <w:t xml:space="preserve"> 特殊医学用途配方食品变更注册与延续注册程序，本节未作规定的，适用本章第一节、第二节的相关规定。</w:t>
      </w:r>
    </w:p>
    <w:p>
      <w:pPr>
        <w:pStyle w:val="2"/>
        <w:keepNext w:val="0"/>
        <w:keepLines w:val="0"/>
        <w:widowControl/>
        <w:suppressLineNumbers w:val="0"/>
        <w:wordWrap w:val="0"/>
        <w:spacing w:line="480" w:lineRule="auto"/>
        <w:jc w:val="center"/>
        <w:rPr>
          <w:color w:val="auto"/>
          <w:sz w:val="21"/>
          <w:szCs w:val="21"/>
        </w:rPr>
      </w:pPr>
      <w:r>
        <w:rPr>
          <w:rStyle w:val="4"/>
          <w:rFonts w:hint="eastAsia" w:ascii="宋体" w:hAnsi="宋体" w:eastAsia="宋体" w:cs="宋体"/>
          <w:color w:val="auto"/>
          <w:sz w:val="21"/>
          <w:szCs w:val="21"/>
        </w:rPr>
        <w:t>第三章 临床试验</w:t>
      </w:r>
    </w:p>
    <w:p>
      <w:pPr>
        <w:pStyle w:val="2"/>
        <w:keepNext w:val="0"/>
        <w:keepLines w:val="0"/>
        <w:widowControl/>
        <w:suppressLineNumbers w:val="0"/>
        <w:wordWrap w:val="0"/>
        <w:spacing w:line="480" w:lineRule="auto"/>
        <w:jc w:val="left"/>
        <w:rPr>
          <w:color w:val="auto"/>
          <w:sz w:val="21"/>
          <w:szCs w:val="21"/>
        </w:rPr>
      </w:pPr>
      <w:r>
        <w:rPr>
          <w:rFonts w:hint="eastAsia" w:ascii="宋体" w:hAnsi="宋体" w:eastAsia="宋体" w:cs="宋体"/>
          <w:color w:val="auto"/>
          <w:sz w:val="21"/>
          <w:szCs w:val="21"/>
        </w:rPr>
        <w:t>　　</w:t>
      </w:r>
      <w:r>
        <w:rPr>
          <w:rStyle w:val="4"/>
          <w:rFonts w:hint="eastAsia" w:ascii="宋体" w:hAnsi="宋体" w:eastAsia="宋体" w:cs="宋体"/>
          <w:color w:val="auto"/>
          <w:sz w:val="21"/>
          <w:szCs w:val="21"/>
        </w:rPr>
        <w:t>第二十九条</w:t>
      </w:r>
      <w:r>
        <w:rPr>
          <w:rFonts w:hint="eastAsia" w:ascii="宋体" w:hAnsi="宋体" w:eastAsia="宋体" w:cs="宋体"/>
          <w:color w:val="auto"/>
          <w:sz w:val="21"/>
          <w:szCs w:val="21"/>
        </w:rPr>
        <w:t xml:space="preserve"> 特定全营养配方食品需要进行临床试验的，由申请人委托符合要求的临床试验机构出具临床试验报告。临床试验报告应当包括完整的统计分析报告和数据。</w:t>
      </w:r>
    </w:p>
    <w:p>
      <w:pPr>
        <w:pStyle w:val="2"/>
        <w:keepNext w:val="0"/>
        <w:keepLines w:val="0"/>
        <w:widowControl/>
        <w:suppressLineNumbers w:val="0"/>
        <w:wordWrap w:val="0"/>
        <w:spacing w:line="480" w:lineRule="auto"/>
        <w:jc w:val="left"/>
        <w:rPr>
          <w:color w:val="auto"/>
          <w:sz w:val="21"/>
          <w:szCs w:val="21"/>
        </w:rPr>
      </w:pPr>
      <w:r>
        <w:rPr>
          <w:rFonts w:hint="eastAsia" w:ascii="宋体" w:hAnsi="宋体" w:eastAsia="宋体" w:cs="宋体"/>
          <w:color w:val="auto"/>
          <w:sz w:val="21"/>
          <w:szCs w:val="21"/>
        </w:rPr>
        <w:t>　　</w:t>
      </w:r>
      <w:r>
        <w:rPr>
          <w:rStyle w:val="4"/>
          <w:rFonts w:hint="eastAsia" w:ascii="宋体" w:hAnsi="宋体" w:eastAsia="宋体" w:cs="宋体"/>
          <w:color w:val="auto"/>
          <w:sz w:val="21"/>
          <w:szCs w:val="21"/>
        </w:rPr>
        <w:t>第三十条</w:t>
      </w:r>
      <w:r>
        <w:rPr>
          <w:rFonts w:hint="eastAsia" w:ascii="宋体" w:hAnsi="宋体" w:eastAsia="宋体" w:cs="宋体"/>
          <w:color w:val="auto"/>
          <w:sz w:val="21"/>
          <w:szCs w:val="21"/>
        </w:rPr>
        <w:t xml:space="preserve"> 临床试验应当按照特殊医学用途配方食品临床试验质量管理规范开展。</w:t>
      </w:r>
      <w:r>
        <w:rPr>
          <w:rFonts w:hint="eastAsia" w:ascii="宋体" w:hAnsi="宋体" w:eastAsia="宋体" w:cs="宋体"/>
          <w:color w:val="auto"/>
          <w:sz w:val="18"/>
          <w:szCs w:val="18"/>
        </w:rPr>
        <w:br w:type="textWrapping"/>
      </w:r>
      <w:r>
        <w:rPr>
          <w:rFonts w:hint="eastAsia" w:ascii="宋体" w:hAnsi="宋体" w:eastAsia="宋体" w:cs="宋体"/>
          <w:color w:val="auto"/>
          <w:sz w:val="21"/>
          <w:szCs w:val="21"/>
        </w:rPr>
        <w:t>　　特殊医学用途配方食品临床试验质量管理规范由国家食品药品监督管理总局发布。</w:t>
      </w:r>
    </w:p>
    <w:p>
      <w:pPr>
        <w:pStyle w:val="2"/>
        <w:keepNext w:val="0"/>
        <w:keepLines w:val="0"/>
        <w:widowControl/>
        <w:suppressLineNumbers w:val="0"/>
        <w:wordWrap w:val="0"/>
        <w:spacing w:line="480" w:lineRule="auto"/>
        <w:jc w:val="left"/>
        <w:rPr>
          <w:color w:val="auto"/>
          <w:sz w:val="21"/>
          <w:szCs w:val="21"/>
        </w:rPr>
      </w:pPr>
      <w:r>
        <w:rPr>
          <w:rFonts w:hint="eastAsia" w:ascii="宋体" w:hAnsi="宋体" w:eastAsia="宋体" w:cs="宋体"/>
          <w:color w:val="auto"/>
          <w:sz w:val="21"/>
          <w:szCs w:val="21"/>
        </w:rPr>
        <w:t>　　</w:t>
      </w:r>
      <w:r>
        <w:rPr>
          <w:rStyle w:val="4"/>
          <w:rFonts w:hint="eastAsia" w:ascii="宋体" w:hAnsi="宋体" w:eastAsia="宋体" w:cs="宋体"/>
          <w:color w:val="auto"/>
          <w:sz w:val="21"/>
          <w:szCs w:val="21"/>
        </w:rPr>
        <w:t>第三十一条</w:t>
      </w:r>
      <w:r>
        <w:rPr>
          <w:rFonts w:hint="eastAsia" w:ascii="宋体" w:hAnsi="宋体" w:eastAsia="宋体" w:cs="宋体"/>
          <w:color w:val="auto"/>
          <w:sz w:val="21"/>
          <w:szCs w:val="21"/>
        </w:rPr>
        <w:t xml:space="preserve"> 申请人组织开展多中心临床试验的，应当明确组长单位和统计单位。</w:t>
      </w:r>
    </w:p>
    <w:p>
      <w:pPr>
        <w:pStyle w:val="2"/>
        <w:keepNext w:val="0"/>
        <w:keepLines w:val="0"/>
        <w:widowControl/>
        <w:suppressLineNumbers w:val="0"/>
        <w:wordWrap w:val="0"/>
        <w:spacing w:line="480" w:lineRule="auto"/>
        <w:jc w:val="left"/>
        <w:rPr>
          <w:color w:val="auto"/>
          <w:sz w:val="21"/>
          <w:szCs w:val="21"/>
        </w:rPr>
      </w:pPr>
      <w:r>
        <w:rPr>
          <w:rFonts w:hint="eastAsia" w:ascii="宋体" w:hAnsi="宋体" w:eastAsia="宋体" w:cs="宋体"/>
          <w:color w:val="auto"/>
          <w:sz w:val="21"/>
          <w:szCs w:val="21"/>
        </w:rPr>
        <w:t>　　</w:t>
      </w:r>
      <w:r>
        <w:rPr>
          <w:rStyle w:val="4"/>
          <w:rFonts w:hint="eastAsia" w:ascii="宋体" w:hAnsi="宋体" w:eastAsia="宋体" w:cs="宋体"/>
          <w:color w:val="auto"/>
          <w:sz w:val="21"/>
          <w:szCs w:val="21"/>
        </w:rPr>
        <w:t>第三十二条</w:t>
      </w:r>
      <w:r>
        <w:rPr>
          <w:rFonts w:hint="eastAsia" w:ascii="宋体" w:hAnsi="宋体" w:eastAsia="宋体" w:cs="宋体"/>
          <w:color w:val="auto"/>
          <w:sz w:val="21"/>
          <w:szCs w:val="21"/>
        </w:rPr>
        <w:t xml:space="preserve"> 申请人应当对用于临床试验的试验样品和对照样品的质量安全负责。</w:t>
      </w:r>
      <w:r>
        <w:rPr>
          <w:rFonts w:hint="eastAsia" w:ascii="宋体" w:hAnsi="宋体" w:eastAsia="宋体" w:cs="宋体"/>
          <w:color w:val="auto"/>
          <w:sz w:val="18"/>
          <w:szCs w:val="18"/>
        </w:rPr>
        <w:br w:type="textWrapping"/>
      </w:r>
      <w:r>
        <w:rPr>
          <w:rFonts w:hint="eastAsia" w:ascii="宋体" w:hAnsi="宋体" w:eastAsia="宋体" w:cs="宋体"/>
          <w:color w:val="auto"/>
          <w:sz w:val="21"/>
          <w:szCs w:val="21"/>
        </w:rPr>
        <w:t>　　用于临床试验的试验样品应当由申请人生产并经检验合格，生产条件应当符合特殊医学用途配方食品良好生产规范。</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第四章 标签和说明书</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第三十三条 </w:t>
      </w:r>
      <w:r>
        <w:rPr>
          <w:rFonts w:hint="eastAsia" w:ascii="宋体" w:hAnsi="宋体" w:eastAsia="宋体" w:cs="宋体"/>
          <w:color w:val="000000"/>
          <w:sz w:val="21"/>
          <w:szCs w:val="21"/>
        </w:rPr>
        <w:t>特殊医学用途配方食品的标签，应当依照法律、法规、规章和食品安全国家标准的规定进行标注。</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第三十四条</w:t>
      </w:r>
      <w:r>
        <w:rPr>
          <w:rFonts w:hint="eastAsia" w:ascii="宋体" w:hAnsi="宋体" w:eastAsia="宋体" w:cs="宋体"/>
          <w:color w:val="000000"/>
          <w:sz w:val="21"/>
          <w:szCs w:val="21"/>
        </w:rPr>
        <w:t xml:space="preserve"> 特殊医学用途配方食品的标签和说明书的内容应当一致，涉及特殊医学用途配方食品注册证书内容的，应当与注册证书内容一致，并标明注册号。</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标签已经涵盖说明书全部内容的，可以不另附说明书。</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第三十五条</w:t>
      </w:r>
      <w:r>
        <w:rPr>
          <w:rFonts w:hint="eastAsia" w:ascii="宋体" w:hAnsi="宋体" w:eastAsia="宋体" w:cs="宋体"/>
          <w:color w:val="000000"/>
          <w:sz w:val="21"/>
          <w:szCs w:val="21"/>
        </w:rPr>
        <w:t xml:space="preserve"> 特殊医学用途配方食品标签、说明书应当真实准确、清晰持久、醒目易读。</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第三十六条</w:t>
      </w:r>
      <w:r>
        <w:rPr>
          <w:rFonts w:hint="eastAsia" w:ascii="宋体" w:hAnsi="宋体" w:eastAsia="宋体" w:cs="宋体"/>
          <w:color w:val="000000"/>
          <w:sz w:val="21"/>
          <w:szCs w:val="21"/>
        </w:rPr>
        <w:t xml:space="preserve"> 特殊医学用途配方食品标签、说明书不得含有虚假内容，不得涉及疾病预防、治疗功能。生产企业对其提供的标签、说明书的内容负责。</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第三十七条</w:t>
      </w:r>
      <w:r>
        <w:rPr>
          <w:rFonts w:hint="eastAsia" w:ascii="宋体" w:hAnsi="宋体" w:eastAsia="宋体" w:cs="宋体"/>
          <w:color w:val="000000"/>
          <w:sz w:val="21"/>
          <w:szCs w:val="21"/>
        </w:rPr>
        <w:t xml:space="preserve"> 特殊医学用途配方食品的名称应当反映食品的真实属性，使用食品安全国家标准规定的分类名称或者等效名称。</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第三十八条 </w:t>
      </w:r>
      <w:r>
        <w:rPr>
          <w:rFonts w:hint="eastAsia" w:ascii="宋体" w:hAnsi="宋体" w:eastAsia="宋体" w:cs="宋体"/>
          <w:color w:val="000000"/>
          <w:sz w:val="21"/>
          <w:szCs w:val="21"/>
        </w:rPr>
        <w:t>特殊医学用途配方食品标签、说明书应当按照食品安全国家标准的规定在醒目位置标示下列内容：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（一）请在医生或者临床营养师指导下使用；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（二）不适用于非目标人群使用；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（三）本品禁止用于肠外营养支持和静脉注射。</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第五章 监督检查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第三十九条 </w:t>
      </w:r>
      <w:r>
        <w:rPr>
          <w:rFonts w:hint="eastAsia" w:ascii="宋体" w:hAnsi="宋体" w:eastAsia="宋体" w:cs="宋体"/>
          <w:color w:val="000000"/>
          <w:sz w:val="21"/>
          <w:szCs w:val="21"/>
        </w:rPr>
        <w:t>特殊医学用途配方食品生产企业应当按照批准注册的产品配方、生产工艺等技术要求组织生产，保证特殊医学用途配方食品安全。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特殊医学用途配方食品生产企业提出的变更注册申请未经批准前，应当严格按照已经批准的注册证书及其附件载明的内容组织生产，不得擅自改变生产条件和要求。</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特殊医学用途配方食品生产企业提出的变更注册申请经批准后，应当严格按照变更后的特殊医学用途配方食品注册证书及其附件载明的内容组织生产。</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第四十条</w:t>
      </w:r>
      <w:r>
        <w:rPr>
          <w:rFonts w:hint="eastAsia" w:ascii="宋体" w:hAnsi="宋体" w:eastAsia="宋体" w:cs="宋体"/>
          <w:color w:val="000000"/>
          <w:sz w:val="21"/>
          <w:szCs w:val="21"/>
        </w:rPr>
        <w:t xml:space="preserve"> 参与特殊医学用途配方食品注册申请受理、技术审评、现场核查、抽样检验、临床试验等工作的人员和专家，应当保守注册中知悉的商业秘密。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申请人应当按照国家有关规定对申请材料中的商业秘密进行标注并注明依据。</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第四十一条</w:t>
      </w:r>
      <w:r>
        <w:rPr>
          <w:rFonts w:hint="eastAsia" w:ascii="宋体" w:hAnsi="宋体" w:eastAsia="宋体" w:cs="宋体"/>
          <w:color w:val="000000"/>
          <w:sz w:val="21"/>
          <w:szCs w:val="21"/>
        </w:rPr>
        <w:t xml:space="preserve"> 有下列情形之一的，国家食品药品监督管理总局根据利害关系人的请求或者依据职权，可以撤销特殊医学用途配方食品注册：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（一）工作人员滥用职权、玩忽职守作出准予注册决定的；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（二）超越法定职权作出准予注册决定的；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（三）违反法定程序作出准予注册决定的；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（四）对不具备申请资格或者不符合法定条件的申请人准予注册的；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（五）食品生产许可证被吊销的；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（六）依法可以撤销注册的其他情形。</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第四十二条</w:t>
      </w:r>
      <w:r>
        <w:rPr>
          <w:rFonts w:hint="eastAsia" w:ascii="宋体" w:hAnsi="宋体" w:eastAsia="宋体" w:cs="宋体"/>
          <w:color w:val="000000"/>
          <w:sz w:val="21"/>
          <w:szCs w:val="21"/>
        </w:rPr>
        <w:t xml:space="preserve"> 有下列情形之一的，国家食品药品监督管理总局应当依法办理特殊医学用途配方食品注册注销手续：</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（一）企业申请注销的；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（二）有效期届满未延续的；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（三）企业依法终止的；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（四）注册依法被撤销、撤回，或者注册证书依法被吊销的；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（五）法律法规规定应当注销注册的其他情形。</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第六章 法律责任</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第四十三条 </w:t>
      </w:r>
      <w:r>
        <w:rPr>
          <w:rFonts w:hint="eastAsia" w:ascii="宋体" w:hAnsi="宋体" w:eastAsia="宋体" w:cs="宋体"/>
          <w:color w:val="000000"/>
          <w:sz w:val="21"/>
          <w:szCs w:val="21"/>
        </w:rPr>
        <w:t>申请人隐瞒真实情况或者提供虚假材料申请注册的，国家食品药品监督管理总局不予受理或者不予注册，并给予警告；申请人在1年内不得再次申请注册。</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第四十四条</w:t>
      </w:r>
      <w:r>
        <w:rPr>
          <w:rFonts w:hint="eastAsia" w:ascii="宋体" w:hAnsi="宋体" w:eastAsia="宋体" w:cs="宋体"/>
          <w:color w:val="000000"/>
          <w:sz w:val="21"/>
          <w:szCs w:val="21"/>
        </w:rPr>
        <w:t xml:space="preserve"> 被许可人以欺骗、贿赂等不正当手段取得注册证书的，由国家食品药品监督管理总局撤销注册证书，并处1万元以上3万元以下罚款；申请人在3年内不得再次申请注册。</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第四十五条</w:t>
      </w:r>
      <w:r>
        <w:rPr>
          <w:rFonts w:hint="eastAsia" w:ascii="宋体" w:hAnsi="宋体" w:eastAsia="宋体" w:cs="宋体"/>
          <w:color w:val="000000"/>
          <w:sz w:val="21"/>
          <w:szCs w:val="21"/>
        </w:rPr>
        <w:t xml:space="preserve"> 伪造、涂改、倒卖、出租、出借、转让特殊医学用途配方食品注册证书的，由县级以上食品药品监督管理部门责令改正，给予警告，并处1万元以下罚款；情节严重的，处1万元以上3万元以下罚款。</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第四十六条</w:t>
      </w:r>
      <w:r>
        <w:rPr>
          <w:rFonts w:hint="eastAsia" w:ascii="宋体" w:hAnsi="宋体" w:eastAsia="宋体" w:cs="宋体"/>
          <w:color w:val="000000"/>
          <w:sz w:val="21"/>
          <w:szCs w:val="21"/>
        </w:rPr>
        <w:t xml:space="preserve"> 注册人变更不影响产品安全性、营养充足性以及特殊医学用途临床效果的事项，未依法申请变更的，由县级以上食品药品监督管理部门责令改正，给予警告；拒不改正的，处1万元以上3万元以下罚款。</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注册人变更产品配方、生产工艺等影响产品安全性、营养充足性以及特殊医学用途临床效果的事项，未依法申请变更的，由县级以上食品药品监督管理部门依照食品安全法第一百二十四条第一款的规定进行处罚。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第四十七条</w:t>
      </w:r>
      <w:r>
        <w:rPr>
          <w:rFonts w:hint="eastAsia" w:ascii="宋体" w:hAnsi="宋体" w:eastAsia="宋体" w:cs="宋体"/>
          <w:color w:val="000000"/>
          <w:sz w:val="21"/>
          <w:szCs w:val="21"/>
        </w:rPr>
        <w:t xml:space="preserve"> 食品药品监督管理部门及其工作人员对不符合条件的申请人准予注册，或者超越法定职权准予注册的，依照食品安全法第一百四十四条的规定给予处理。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食品药品监督管理部门及其工作人员在注册审批过程中滥用职权、玩忽职守、徇私舞弊的，依照食品安全法第一百四十五条的规定给予处理。</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第七章 附 则</w:t>
      </w:r>
    </w:p>
    <w:p>
      <w:pPr>
        <w:pStyle w:val="2"/>
        <w:keepNext w:val="0"/>
        <w:keepLines w:val="0"/>
        <w:widowControl/>
        <w:suppressLineNumbers w:val="0"/>
        <w:wordWrap w:val="0"/>
        <w:spacing w:line="480" w:lineRule="auto"/>
        <w:jc w:val="left"/>
        <w:rPr>
          <w:color w:val="auto"/>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第四十八条</w:t>
      </w:r>
      <w:r>
        <w:rPr>
          <w:rFonts w:hint="eastAsia" w:ascii="宋体" w:hAnsi="宋体" w:eastAsia="宋体" w:cs="宋体"/>
          <w:color w:val="000000"/>
          <w:sz w:val="21"/>
          <w:szCs w:val="21"/>
        </w:rPr>
        <w:t xml:space="preserve"> </w:t>
      </w:r>
      <w:r>
        <w:rPr>
          <w:rFonts w:hint="eastAsia" w:ascii="宋体" w:hAnsi="宋体" w:eastAsia="宋体" w:cs="宋体"/>
          <w:color w:val="auto"/>
          <w:sz w:val="21"/>
          <w:szCs w:val="21"/>
        </w:rPr>
        <w:t>特殊医学用途配方食品，是指为满足进食受限、消化吸收障碍、代谢紊乱或者特定疾病状态人群对营养素或者膳食的特殊需要，专门加工配制而成的配方食品，包括适用于0月龄至12月龄的特殊医学用途婴儿配方食品和适用于1岁以上人群的特殊医学用途配方食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第四十九条</w:t>
      </w:r>
      <w:r>
        <w:rPr>
          <w:rFonts w:hint="eastAsia" w:ascii="宋体" w:hAnsi="宋体" w:eastAsia="宋体" w:cs="宋体"/>
          <w:color w:val="000000"/>
          <w:sz w:val="21"/>
          <w:szCs w:val="21"/>
        </w:rPr>
        <w:t xml:space="preserve"> 适用于0月龄至12月龄的特殊医学用途婴儿配方食品包括无乳糖配方食品或者低乳糖配方食品、乳蛋白部分水解配方食品、乳蛋白深度水解配方食品或者氨基酸配方食品、早产或者低出生体重婴儿配方食品、氨基酸代谢障碍配方食品和母乳营养补充剂等。</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第五十条 </w:t>
      </w:r>
      <w:r>
        <w:rPr>
          <w:rFonts w:hint="eastAsia" w:ascii="宋体" w:hAnsi="宋体" w:eastAsia="宋体" w:cs="宋体"/>
          <w:color w:val="000000"/>
          <w:sz w:val="21"/>
          <w:szCs w:val="21"/>
        </w:rPr>
        <w:t>适用于1岁以上人群的特殊医学用途配方食品，包括全营养配方食品、特定全营养配方食品、非全营养配方食品。</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全营养配方食品，是指可以作为单一营养来源满足目标人群营养需求的特殊医学用途配方食品。</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w:t>
      </w:r>
      <w:r>
        <w:rPr>
          <w:rFonts w:hint="eastAsia" w:ascii="宋体" w:hAnsi="宋体" w:eastAsia="宋体" w:cs="宋体"/>
          <w:color w:val="auto"/>
          <w:sz w:val="21"/>
          <w:szCs w:val="21"/>
        </w:rPr>
        <w:t>特定全营养配方食品，是指可以作为单一营养来源满足目标人群在特定疾病或者医学状况下营养需求的特殊医学用途配方食品。常见特定全营养配方食品有：糖尿病全营养配方食品，呼吸系统疾病全营养配方食品，肾病全营养配方食品，肿瘤全营养配方食品，肝病全营养配方食品，肌肉衰减综合征全营养配方食品，创伤、感染、手术及其他应激状态全营养配方食品，炎性肠病全营养配方食品，食物蛋白过敏全营养配方食品，难治性癫痫全营养配方食品，胃肠道吸收障碍、胰腺炎全营养配方食品，脂肪酸代谢异常全营养配方食品，肥胖、减脂手术全营养配方食品。</w:t>
      </w:r>
      <w:r>
        <w:rPr>
          <w:rFonts w:hint="eastAsia" w:ascii="宋体" w:hAnsi="宋体" w:eastAsia="宋体" w:cs="宋体"/>
          <w:color w:val="auto"/>
          <w:sz w:val="18"/>
          <w:szCs w:val="18"/>
        </w:rPr>
        <w:br w:type="textWrapping"/>
      </w:r>
      <w:r>
        <w:rPr>
          <w:rFonts w:hint="eastAsia" w:ascii="宋体" w:hAnsi="宋体" w:eastAsia="宋体" w:cs="宋体"/>
          <w:color w:val="000000"/>
          <w:sz w:val="21"/>
          <w:szCs w:val="21"/>
        </w:rPr>
        <w:t>　　非全营养配方食品，是指可以满足目标人群部分营养需求的特殊医学用途配方食品，不适用于作为单一营养来源。常见非全营养配方食品有：营养素组件（蛋白质组件、脂肪组件、碳水化合物组件），电解质配方，增稠组件，流质配方和氨基酸代谢障碍配方。</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 xml:space="preserve">第五十一条 </w:t>
      </w:r>
      <w:r>
        <w:rPr>
          <w:rFonts w:hint="eastAsia" w:ascii="宋体" w:hAnsi="宋体" w:eastAsia="宋体" w:cs="宋体"/>
          <w:color w:val="000000"/>
          <w:sz w:val="21"/>
          <w:szCs w:val="21"/>
        </w:rPr>
        <w:t>医疗机构配制供病人食用的营养餐不适用本办法。</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第五十二条</w:t>
      </w:r>
      <w:r>
        <w:rPr>
          <w:rFonts w:hint="eastAsia" w:ascii="宋体" w:hAnsi="宋体" w:eastAsia="宋体" w:cs="宋体"/>
          <w:color w:val="000000"/>
          <w:sz w:val="21"/>
          <w:szCs w:val="21"/>
        </w:rPr>
        <w:t xml:space="preserve"> 本办法自2016年7月1日起施行。</w:t>
      </w:r>
    </w:p>
    <w:p>
      <w:pPr>
        <w:pStyle w:val="2"/>
        <w:keepNext w:val="0"/>
        <w:keepLines w:val="0"/>
        <w:widowControl/>
        <w:suppressLineNumbers w:val="0"/>
        <w:wordWrap w:val="0"/>
        <w:spacing w:line="480" w:lineRule="auto"/>
        <w:jc w:val="center"/>
        <w:rPr>
          <w:rFonts w:hint="eastAsia" w:ascii="宋体" w:hAnsi="宋体" w:eastAsia="宋体" w:cs="宋体"/>
          <w:color w:val="000000"/>
          <w:sz w:val="21"/>
          <w:szCs w:val="21"/>
        </w:rPr>
      </w:pPr>
    </w:p>
    <w:p>
      <w:pPr>
        <w:jc w:val="center"/>
        <w:rPr>
          <w:rFonts w:hint="eastAsia" w:ascii="宋体" w:hAnsi="宋体" w:eastAsia="宋体" w:cs="宋体"/>
          <w:b/>
          <w:color w:val="auto"/>
          <w:sz w:val="24"/>
          <w:szCs w:val="24"/>
        </w:rPr>
      </w:pPr>
    </w:p>
    <w:p>
      <w:pPr>
        <w:jc w:val="center"/>
        <w:rPr>
          <w:rFonts w:hint="eastAsia" w:ascii="宋体" w:hAnsi="宋体" w:eastAsia="宋体" w:cs="宋体"/>
          <w:b/>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B3706"/>
    <w:rsid w:val="10071EE5"/>
    <w:rsid w:val="234C691F"/>
    <w:rsid w:val="4E8A5714"/>
    <w:rsid w:val="611118D8"/>
    <w:rsid w:val="655463D7"/>
    <w:rsid w:val="71070B98"/>
    <w:rsid w:val="737A737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color w:val="3A3A3A"/>
      <w:kern w:val="0"/>
      <w:sz w:val="24"/>
      <w:u w:val="none"/>
      <w:lang w:val="en-US" w:eastAsia="zh-CN" w:bidi="ar"/>
    </w:rPr>
  </w:style>
  <w:style w:type="character" w:styleId="4">
    <w:name w:val="Strong"/>
    <w:basedOn w:val="3"/>
    <w:qFormat/>
    <w:uiPriority w:val="0"/>
    <w:rPr>
      <w:b/>
    </w:rPr>
  </w:style>
  <w:style w:type="character" w:styleId="5">
    <w:name w:val="FollowedHyperlink"/>
    <w:basedOn w:val="3"/>
    <w:uiPriority w:val="0"/>
    <w:rPr>
      <w:color w:val="5D5D5D"/>
      <w:u w:val="none"/>
    </w:rPr>
  </w:style>
  <w:style w:type="character" w:styleId="6">
    <w:name w:val="Hyperlink"/>
    <w:basedOn w:val="3"/>
    <w:uiPriority w:val="0"/>
    <w:rPr>
      <w:color w:val="3A3A3A"/>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2016-04-29T05:10:24Z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